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F42C72" w:rsidRDefault="00D5547E" w:rsidP="004A6D2F">
      <w:pPr>
        <w:rPr>
          <w:color w:val="auto"/>
        </w:rPr>
      </w:pPr>
      <w:bookmarkStart w:id="0" w:name="_GoBack"/>
      <w:bookmarkEnd w:id="0"/>
    </w:p>
    <w:tbl>
      <w:tblPr>
        <w:tblStyle w:val="TableGrid"/>
        <w:tblW w:w="0" w:type="auto"/>
        <w:tblLook w:val="04A0" w:firstRow="1" w:lastRow="0" w:firstColumn="1" w:lastColumn="0" w:noHBand="0" w:noVBand="1"/>
      </w:tblPr>
      <w:tblGrid>
        <w:gridCol w:w="3565"/>
        <w:gridCol w:w="2635"/>
        <w:gridCol w:w="3088"/>
      </w:tblGrid>
      <w:tr w:rsidR="00F42C72" w:rsidRPr="00F42C72" w:rsidTr="00886AA3">
        <w:tc>
          <w:tcPr>
            <w:tcW w:w="3565"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Complaint No.:</w:t>
            </w:r>
          </w:p>
        </w:tc>
        <w:tc>
          <w:tcPr>
            <w:tcW w:w="2635"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Complaint received</w:t>
            </w:r>
          </w:p>
        </w:tc>
        <w:tc>
          <w:tcPr>
            <w:tcW w:w="3088"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Deadline for assessment</w:t>
            </w:r>
          </w:p>
        </w:tc>
      </w:tr>
      <w:tr w:rsidR="00F42C72" w:rsidRPr="00F42C72" w:rsidTr="00886AA3">
        <w:tc>
          <w:tcPr>
            <w:tcW w:w="3565" w:type="dxa"/>
            <w:tcBorders>
              <w:bottom w:val="single" w:sz="4" w:space="0" w:color="auto"/>
            </w:tcBorders>
          </w:tcPr>
          <w:p w:rsidR="00A0519D" w:rsidRPr="00F42C72" w:rsidRDefault="007C0CE8" w:rsidP="00A0519D">
            <w:pPr>
              <w:spacing w:before="60" w:after="60"/>
              <w:rPr>
                <w:color w:val="auto"/>
              </w:rPr>
            </w:pPr>
            <w:r>
              <w:rPr>
                <w:color w:val="auto"/>
              </w:rPr>
              <w:t>0018058</w:t>
            </w:r>
          </w:p>
        </w:tc>
        <w:tc>
          <w:tcPr>
            <w:tcW w:w="2635" w:type="dxa"/>
            <w:tcBorders>
              <w:bottom w:val="single" w:sz="4" w:space="0" w:color="auto"/>
            </w:tcBorders>
          </w:tcPr>
          <w:p w:rsidR="00A0519D" w:rsidRPr="00F42C72" w:rsidRDefault="007C0CE8" w:rsidP="00A0519D">
            <w:pPr>
              <w:spacing w:before="60" w:after="60"/>
              <w:rPr>
                <w:color w:val="auto"/>
              </w:rPr>
            </w:pPr>
            <w:r>
              <w:rPr>
                <w:color w:val="auto"/>
              </w:rPr>
              <w:t>30 March 2022</w:t>
            </w:r>
          </w:p>
        </w:tc>
        <w:tc>
          <w:tcPr>
            <w:tcW w:w="3088" w:type="dxa"/>
            <w:tcBorders>
              <w:bottom w:val="single" w:sz="4" w:space="0" w:color="auto"/>
            </w:tcBorders>
          </w:tcPr>
          <w:p w:rsidR="00A0519D" w:rsidRPr="00F42C72" w:rsidRDefault="007C0CE8" w:rsidP="00A519E0">
            <w:pPr>
              <w:spacing w:before="60" w:after="60"/>
              <w:rPr>
                <w:color w:val="auto"/>
              </w:rPr>
            </w:pPr>
            <w:r>
              <w:rPr>
                <w:color w:val="auto"/>
              </w:rPr>
              <w:t>27 April 2022</w:t>
            </w:r>
            <w:r w:rsidR="00A519E0" w:rsidRPr="00F42C72">
              <w:rPr>
                <w:rStyle w:val="FootnoteReference"/>
                <w:color w:val="auto"/>
              </w:rPr>
              <w:footnoteReference w:id="1"/>
            </w:r>
          </w:p>
        </w:tc>
      </w:tr>
      <w:tr w:rsidR="00F42C72" w:rsidRPr="00F42C72" w:rsidTr="00886AA3">
        <w:tc>
          <w:tcPr>
            <w:tcW w:w="3565"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Monitoring Officer:</w:t>
            </w:r>
          </w:p>
        </w:tc>
        <w:tc>
          <w:tcPr>
            <w:tcW w:w="2635"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Independent Person(s)</w:t>
            </w:r>
          </w:p>
        </w:tc>
        <w:tc>
          <w:tcPr>
            <w:tcW w:w="3088"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Date of Meeting(s):</w:t>
            </w:r>
          </w:p>
        </w:tc>
      </w:tr>
      <w:tr w:rsidR="009A5946" w:rsidRPr="00F42C72" w:rsidTr="009A5946">
        <w:trPr>
          <w:trHeight w:val="604"/>
        </w:trPr>
        <w:tc>
          <w:tcPr>
            <w:tcW w:w="3565" w:type="dxa"/>
          </w:tcPr>
          <w:p w:rsidR="009A5946" w:rsidRPr="00F42C72" w:rsidRDefault="009A5946" w:rsidP="009D333B">
            <w:pPr>
              <w:spacing w:before="60" w:after="60"/>
              <w:rPr>
                <w:color w:val="auto"/>
              </w:rPr>
            </w:pPr>
            <w:r w:rsidRPr="00F42C72">
              <w:rPr>
                <w:color w:val="auto"/>
              </w:rPr>
              <w:t>Susan Sale</w:t>
            </w:r>
          </w:p>
        </w:tc>
        <w:tc>
          <w:tcPr>
            <w:tcW w:w="2635" w:type="dxa"/>
            <w:vMerge w:val="restart"/>
          </w:tcPr>
          <w:p w:rsidR="009A5946" w:rsidRDefault="007C0CE8" w:rsidP="009D333B">
            <w:pPr>
              <w:spacing w:before="60" w:after="60"/>
              <w:rPr>
                <w:color w:val="auto"/>
              </w:rPr>
            </w:pPr>
            <w:r>
              <w:rPr>
                <w:color w:val="auto"/>
              </w:rPr>
              <w:t>Osama Raja</w:t>
            </w:r>
          </w:p>
          <w:p w:rsidR="009A5946" w:rsidRPr="00F42C72" w:rsidRDefault="009A5946" w:rsidP="009D333B">
            <w:pPr>
              <w:spacing w:before="60" w:after="60"/>
              <w:rPr>
                <w:color w:val="auto"/>
              </w:rPr>
            </w:pPr>
            <w:r>
              <w:rPr>
                <w:color w:val="auto"/>
              </w:rPr>
              <w:t>Andrew Mills-Hicks</w:t>
            </w:r>
          </w:p>
        </w:tc>
        <w:tc>
          <w:tcPr>
            <w:tcW w:w="3088" w:type="dxa"/>
            <w:vMerge w:val="restart"/>
          </w:tcPr>
          <w:p w:rsidR="009A5946" w:rsidRPr="00F42C72" w:rsidRDefault="007C0CE8" w:rsidP="009D333B">
            <w:pPr>
              <w:spacing w:before="60" w:after="60"/>
              <w:rPr>
                <w:color w:val="auto"/>
              </w:rPr>
            </w:pPr>
            <w:r>
              <w:rPr>
                <w:color w:val="auto"/>
              </w:rPr>
              <w:t>11 January 2023</w:t>
            </w:r>
          </w:p>
        </w:tc>
      </w:tr>
      <w:tr w:rsidR="009A5946" w:rsidRPr="00F42C72" w:rsidTr="009A5946">
        <w:trPr>
          <w:trHeight w:val="602"/>
        </w:trPr>
        <w:tc>
          <w:tcPr>
            <w:tcW w:w="3565" w:type="dxa"/>
            <w:shd w:val="clear" w:color="auto" w:fill="D9D9D9" w:themeFill="background1" w:themeFillShade="D9"/>
          </w:tcPr>
          <w:p w:rsidR="009A5946" w:rsidRPr="009A5946" w:rsidRDefault="009A5946" w:rsidP="009D333B">
            <w:pPr>
              <w:spacing w:before="60" w:after="60"/>
              <w:rPr>
                <w:b/>
                <w:color w:val="auto"/>
              </w:rPr>
            </w:pPr>
            <w:r w:rsidRPr="009A5946">
              <w:rPr>
                <w:b/>
                <w:color w:val="auto"/>
              </w:rPr>
              <w:t>Investigating Officer:</w:t>
            </w:r>
          </w:p>
        </w:tc>
        <w:tc>
          <w:tcPr>
            <w:tcW w:w="2635" w:type="dxa"/>
            <w:vMerge/>
            <w:shd w:val="clear" w:color="auto" w:fill="D9D9D9" w:themeFill="background1" w:themeFillShade="D9"/>
          </w:tcPr>
          <w:p w:rsidR="009A5946" w:rsidRPr="00F42C72" w:rsidRDefault="009A5946" w:rsidP="009D333B">
            <w:pPr>
              <w:spacing w:before="60" w:after="60"/>
              <w:rPr>
                <w:color w:val="auto"/>
              </w:rPr>
            </w:pPr>
          </w:p>
        </w:tc>
        <w:tc>
          <w:tcPr>
            <w:tcW w:w="3088" w:type="dxa"/>
            <w:vMerge/>
            <w:shd w:val="clear" w:color="auto" w:fill="D9D9D9" w:themeFill="background1" w:themeFillShade="D9"/>
          </w:tcPr>
          <w:p w:rsidR="009A5946" w:rsidRDefault="009A5946" w:rsidP="009D333B">
            <w:pPr>
              <w:spacing w:before="60" w:after="60"/>
              <w:rPr>
                <w:color w:val="auto"/>
              </w:rPr>
            </w:pPr>
          </w:p>
        </w:tc>
      </w:tr>
      <w:tr w:rsidR="009A5946" w:rsidRPr="00F42C72" w:rsidTr="002F41EC">
        <w:trPr>
          <w:trHeight w:val="602"/>
        </w:trPr>
        <w:tc>
          <w:tcPr>
            <w:tcW w:w="3565" w:type="dxa"/>
          </w:tcPr>
          <w:p w:rsidR="009A5946" w:rsidRPr="00F42C72" w:rsidRDefault="009A5946" w:rsidP="009D333B">
            <w:pPr>
              <w:spacing w:before="60" w:after="60"/>
              <w:rPr>
                <w:color w:val="auto"/>
              </w:rPr>
            </w:pPr>
            <w:r>
              <w:rPr>
                <w:color w:val="auto"/>
              </w:rPr>
              <w:t>Emma Griffiths</w:t>
            </w:r>
          </w:p>
        </w:tc>
        <w:tc>
          <w:tcPr>
            <w:tcW w:w="2635" w:type="dxa"/>
            <w:vMerge/>
          </w:tcPr>
          <w:p w:rsidR="009A5946" w:rsidRPr="00F42C72" w:rsidRDefault="009A5946" w:rsidP="009D333B">
            <w:pPr>
              <w:spacing w:before="60" w:after="60"/>
              <w:rPr>
                <w:color w:val="auto"/>
              </w:rPr>
            </w:pPr>
          </w:p>
        </w:tc>
        <w:tc>
          <w:tcPr>
            <w:tcW w:w="3088" w:type="dxa"/>
            <w:vMerge/>
          </w:tcPr>
          <w:p w:rsidR="009A5946" w:rsidRDefault="009A5946" w:rsidP="009D333B">
            <w:pPr>
              <w:spacing w:before="60" w:after="60"/>
              <w:rPr>
                <w:color w:val="auto"/>
              </w:rPr>
            </w:pPr>
          </w:p>
        </w:tc>
      </w:tr>
      <w:tr w:rsidR="00F42C72" w:rsidRPr="00F42C72" w:rsidTr="00886AA3">
        <w:tc>
          <w:tcPr>
            <w:tcW w:w="3565"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Name of complainant(s):</w:t>
            </w:r>
          </w:p>
        </w:tc>
        <w:tc>
          <w:tcPr>
            <w:tcW w:w="2635" w:type="dxa"/>
            <w:shd w:val="clear" w:color="auto" w:fill="D9D9D9" w:themeFill="background1" w:themeFillShade="D9"/>
          </w:tcPr>
          <w:p w:rsidR="00A0519D" w:rsidRPr="00F42C72" w:rsidRDefault="00A0519D" w:rsidP="004419EC">
            <w:pPr>
              <w:spacing w:before="60" w:after="60"/>
              <w:rPr>
                <w:b/>
                <w:color w:val="auto"/>
              </w:rPr>
            </w:pPr>
            <w:r w:rsidRPr="00F42C72">
              <w:rPr>
                <w:b/>
                <w:color w:val="auto"/>
              </w:rPr>
              <w:t xml:space="preserve">Name of </w:t>
            </w:r>
            <w:r w:rsidR="004419EC" w:rsidRPr="00F42C72">
              <w:rPr>
                <w:b/>
                <w:color w:val="auto"/>
              </w:rPr>
              <w:t>S</w:t>
            </w:r>
            <w:r w:rsidRPr="00F42C72">
              <w:rPr>
                <w:b/>
                <w:color w:val="auto"/>
              </w:rPr>
              <w:t xml:space="preserve">ubject </w:t>
            </w:r>
            <w:r w:rsidR="004419EC" w:rsidRPr="00F42C72">
              <w:rPr>
                <w:b/>
                <w:color w:val="auto"/>
              </w:rPr>
              <w:t>Councillor</w:t>
            </w:r>
            <w:r w:rsidRPr="00F42C72">
              <w:rPr>
                <w:b/>
                <w:color w:val="auto"/>
              </w:rPr>
              <w:t>:</w:t>
            </w:r>
          </w:p>
        </w:tc>
        <w:tc>
          <w:tcPr>
            <w:tcW w:w="3088"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City / Parish Council:</w:t>
            </w:r>
          </w:p>
        </w:tc>
      </w:tr>
      <w:tr w:rsidR="00F42C72" w:rsidRPr="00F42C72" w:rsidTr="00886AA3">
        <w:tc>
          <w:tcPr>
            <w:tcW w:w="3565" w:type="dxa"/>
          </w:tcPr>
          <w:p w:rsidR="00A0519D" w:rsidRPr="007C0CE8" w:rsidRDefault="007C0CE8" w:rsidP="004A342B">
            <w:pPr>
              <w:pStyle w:val="BodyText"/>
              <w:spacing w:before="1"/>
              <w:rPr>
                <w:sz w:val="24"/>
              </w:rPr>
            </w:pPr>
            <w:proofErr w:type="spellStart"/>
            <w:r w:rsidRPr="007C0CE8">
              <w:rPr>
                <w:sz w:val="24"/>
              </w:rPr>
              <w:t>Mr</w:t>
            </w:r>
            <w:proofErr w:type="spellEnd"/>
            <w:r w:rsidRPr="007C0CE8">
              <w:rPr>
                <w:sz w:val="24"/>
              </w:rPr>
              <w:t xml:space="preserve"> Tim Shickle (Oxfordshire County Council Officer)</w:t>
            </w:r>
          </w:p>
        </w:tc>
        <w:tc>
          <w:tcPr>
            <w:tcW w:w="2635" w:type="dxa"/>
          </w:tcPr>
          <w:p w:rsidR="00A0519D" w:rsidRPr="00F42C72" w:rsidRDefault="00A519E0" w:rsidP="00A0519D">
            <w:pPr>
              <w:spacing w:before="60" w:after="60"/>
              <w:rPr>
                <w:color w:val="auto"/>
              </w:rPr>
            </w:pPr>
            <w:r w:rsidRPr="00F42C72">
              <w:rPr>
                <w:color w:val="auto"/>
              </w:rPr>
              <w:t>Parish Cllr Michael Evans</w:t>
            </w:r>
          </w:p>
        </w:tc>
        <w:tc>
          <w:tcPr>
            <w:tcW w:w="3088" w:type="dxa"/>
          </w:tcPr>
          <w:p w:rsidR="00A0519D" w:rsidRPr="00F42C72" w:rsidRDefault="00A519E0" w:rsidP="00A0519D">
            <w:pPr>
              <w:spacing w:before="60" w:after="60"/>
              <w:rPr>
                <w:color w:val="auto"/>
              </w:rPr>
            </w:pPr>
            <w:r w:rsidRPr="00F42C72">
              <w:rPr>
                <w:color w:val="auto"/>
              </w:rPr>
              <w:t>Littlemore Parish Council</w:t>
            </w:r>
          </w:p>
        </w:tc>
      </w:tr>
    </w:tbl>
    <w:p w:rsidR="004F20EF" w:rsidRPr="00F42C72" w:rsidRDefault="004F20EF" w:rsidP="00E90F2E">
      <w:pPr>
        <w:spacing w:after="0"/>
        <w:rPr>
          <w:color w:val="auto"/>
        </w:rPr>
      </w:pPr>
    </w:p>
    <w:p w:rsidR="00E90F2E" w:rsidRPr="00F42C72" w:rsidRDefault="00E90F2E" w:rsidP="00E90F2E">
      <w:pPr>
        <w:spacing w:after="0"/>
        <w:rPr>
          <w:color w:val="auto"/>
        </w:rPr>
      </w:pPr>
    </w:p>
    <w:p w:rsidR="0040736F" w:rsidRPr="00F42C72" w:rsidRDefault="004535B2" w:rsidP="00F35E75">
      <w:pPr>
        <w:pStyle w:val="Heading1"/>
        <w:spacing w:before="0" w:after="0"/>
        <w:rPr>
          <w:color w:val="auto"/>
        </w:rPr>
      </w:pPr>
      <w:r>
        <w:rPr>
          <w:color w:val="auto"/>
        </w:rPr>
        <w:t>Power to determine the Complaint</w:t>
      </w:r>
    </w:p>
    <w:p w:rsidR="00863F73" w:rsidRDefault="00863F73" w:rsidP="002665D3">
      <w:pPr>
        <w:pStyle w:val="ListParagraph"/>
        <w:numPr>
          <w:ilvl w:val="0"/>
          <w:numId w:val="7"/>
        </w:numPr>
        <w:spacing w:before="120" w:after="0"/>
        <w:rPr>
          <w:color w:val="auto"/>
        </w:rPr>
      </w:pPr>
      <w:r>
        <w:rPr>
          <w:color w:val="auto"/>
        </w:rPr>
        <w:t>Section 27(1) Localism Act 2011 provides that a relevant authority must promote and maintain high standards of conduct by members and co-opted members of the authority.  Section 27(2) Localism Act 2011 provides that a relevant authority must, in particular, adopt a code dealing with the conduct that is expected of members of the authority, when they are acting in that capacity.</w:t>
      </w:r>
    </w:p>
    <w:p w:rsidR="00863F73" w:rsidRDefault="00863F73" w:rsidP="002665D3">
      <w:pPr>
        <w:pStyle w:val="ListParagraph"/>
        <w:numPr>
          <w:ilvl w:val="0"/>
          <w:numId w:val="7"/>
        </w:numPr>
        <w:spacing w:before="120" w:after="0"/>
        <w:rPr>
          <w:color w:val="auto"/>
        </w:rPr>
      </w:pPr>
      <w:r>
        <w:rPr>
          <w:color w:val="auto"/>
        </w:rPr>
        <w:t>In response to these obligations, Littlemore Parish Council adopted a code of conduct, governing the conduct expected of Littlemore Parish Councillors</w:t>
      </w:r>
      <w:r w:rsidR="003E3C77">
        <w:rPr>
          <w:color w:val="auto"/>
        </w:rPr>
        <w:t>.</w:t>
      </w:r>
    </w:p>
    <w:p w:rsidR="00863F73" w:rsidRDefault="00863F73" w:rsidP="002665D3">
      <w:pPr>
        <w:pStyle w:val="ListParagraph"/>
        <w:numPr>
          <w:ilvl w:val="0"/>
          <w:numId w:val="7"/>
        </w:numPr>
        <w:spacing w:before="120" w:after="0"/>
        <w:rPr>
          <w:color w:val="auto"/>
        </w:rPr>
      </w:pPr>
      <w:r>
        <w:rPr>
          <w:color w:val="auto"/>
        </w:rPr>
        <w:t xml:space="preserve">Section 28 Localism Act 2011 provides that arrangements must be in place to deal with complaints of Councillors breaching </w:t>
      </w:r>
      <w:r w:rsidR="003E3C77">
        <w:rPr>
          <w:color w:val="auto"/>
        </w:rPr>
        <w:t xml:space="preserve">their code of conduct and in this case the arrangements provide that the District Council is responsible for considering and </w:t>
      </w:r>
      <w:proofErr w:type="gramStart"/>
      <w:r w:rsidR="003E3C77">
        <w:rPr>
          <w:color w:val="auto"/>
        </w:rPr>
        <w:t>determining</w:t>
      </w:r>
      <w:proofErr w:type="gramEnd"/>
      <w:r w:rsidR="003E3C77">
        <w:rPr>
          <w:color w:val="auto"/>
        </w:rPr>
        <w:t xml:space="preserve"> allegations of breach of the code relating to Parish Councillors within their Districts.</w:t>
      </w:r>
    </w:p>
    <w:p w:rsidR="00C4544F" w:rsidRPr="004A62A1" w:rsidRDefault="004535B2" w:rsidP="002665D3">
      <w:pPr>
        <w:pStyle w:val="ListParagraph"/>
        <w:numPr>
          <w:ilvl w:val="0"/>
          <w:numId w:val="7"/>
        </w:numPr>
        <w:spacing w:before="120" w:after="0"/>
        <w:rPr>
          <w:color w:val="auto"/>
        </w:rPr>
      </w:pPr>
      <w:r w:rsidRPr="004A62A1">
        <w:rPr>
          <w:color w:val="auto"/>
        </w:rPr>
        <w:t xml:space="preserve">The Code of Conduct complaint against Parish Cllr Michael Evans has been determined under Section 22 of the constitution for Oxford City Council.  The decision was made by a </w:t>
      </w:r>
      <w:r w:rsidR="008B7E47" w:rsidRPr="004A62A1">
        <w:rPr>
          <w:color w:val="auto"/>
        </w:rPr>
        <w:t xml:space="preserve">Local Panel Hearing of the </w:t>
      </w:r>
      <w:r w:rsidRPr="004A62A1">
        <w:rPr>
          <w:color w:val="auto"/>
        </w:rPr>
        <w:t xml:space="preserve">Standards Committee held on </w:t>
      </w:r>
      <w:r w:rsidR="007C0CE8">
        <w:rPr>
          <w:color w:val="auto"/>
        </w:rPr>
        <w:t>11 January 2023</w:t>
      </w:r>
      <w:r w:rsidR="009A5946">
        <w:rPr>
          <w:color w:val="auto"/>
        </w:rPr>
        <w:t>,</w:t>
      </w:r>
      <w:r w:rsidRPr="004A62A1">
        <w:rPr>
          <w:color w:val="auto"/>
        </w:rPr>
        <w:t xml:space="preserve"> in accordance w</w:t>
      </w:r>
      <w:r w:rsidR="00863F73" w:rsidRPr="004A62A1">
        <w:rPr>
          <w:color w:val="auto"/>
        </w:rPr>
        <w:t xml:space="preserve">ith the ‘Procedure for dealing with </w:t>
      </w:r>
      <w:r w:rsidR="009A5946">
        <w:rPr>
          <w:color w:val="auto"/>
        </w:rPr>
        <w:t>C</w:t>
      </w:r>
      <w:r w:rsidR="00863F73" w:rsidRPr="004A62A1">
        <w:rPr>
          <w:color w:val="auto"/>
        </w:rPr>
        <w:t>ode</w:t>
      </w:r>
      <w:r w:rsidR="009A5946">
        <w:rPr>
          <w:color w:val="auto"/>
        </w:rPr>
        <w:t xml:space="preserve"> of Conduct complaints against C</w:t>
      </w:r>
      <w:r w:rsidR="00863F73" w:rsidRPr="004A62A1">
        <w:rPr>
          <w:color w:val="auto"/>
        </w:rPr>
        <w:t>ouncillors’.</w:t>
      </w:r>
    </w:p>
    <w:p w:rsidR="00E90F2E" w:rsidRPr="00F42C72" w:rsidRDefault="00E90F2E" w:rsidP="00E90F2E">
      <w:pPr>
        <w:spacing w:after="0"/>
        <w:rPr>
          <w:color w:val="auto"/>
        </w:rPr>
      </w:pPr>
    </w:p>
    <w:p w:rsidR="00633578" w:rsidRPr="00F42C72" w:rsidRDefault="00A0519D" w:rsidP="00F35E75">
      <w:pPr>
        <w:pStyle w:val="Heading1"/>
        <w:spacing w:before="0"/>
        <w:rPr>
          <w:color w:val="auto"/>
        </w:rPr>
      </w:pPr>
      <w:r w:rsidRPr="00F42C72">
        <w:rPr>
          <w:color w:val="auto"/>
        </w:rPr>
        <w:t>Summary of complaint</w:t>
      </w:r>
    </w:p>
    <w:tbl>
      <w:tblPr>
        <w:tblW w:w="9586" w:type="dxa"/>
        <w:tblInd w:w="-108" w:type="dxa"/>
        <w:tblBorders>
          <w:top w:val="nil"/>
          <w:left w:val="nil"/>
          <w:bottom w:val="nil"/>
          <w:right w:val="nil"/>
        </w:tblBorders>
        <w:tblLayout w:type="fixed"/>
        <w:tblLook w:val="0000" w:firstRow="0" w:lastRow="0" w:firstColumn="0" w:lastColumn="0" w:noHBand="0" w:noVBand="0"/>
      </w:tblPr>
      <w:tblGrid>
        <w:gridCol w:w="9586"/>
      </w:tblGrid>
      <w:tr w:rsidR="00F42C72" w:rsidRPr="00F42C72" w:rsidTr="00DD14F8">
        <w:trPr>
          <w:trHeight w:val="1956"/>
        </w:trPr>
        <w:tc>
          <w:tcPr>
            <w:tcW w:w="9586" w:type="dxa"/>
          </w:tcPr>
          <w:p w:rsidR="00C4544F" w:rsidRPr="003E3C77" w:rsidRDefault="004F70A1" w:rsidP="00D86804">
            <w:pPr>
              <w:pStyle w:val="ListParagraph"/>
              <w:numPr>
                <w:ilvl w:val="0"/>
                <w:numId w:val="7"/>
              </w:numPr>
              <w:autoSpaceDE w:val="0"/>
              <w:autoSpaceDN w:val="0"/>
              <w:adjustRightInd w:val="0"/>
              <w:spacing w:after="0"/>
              <w:rPr>
                <w:rFonts w:eastAsiaTheme="minorHAnsi" w:cs="Arial"/>
                <w:i/>
                <w:color w:val="auto"/>
                <w:lang w:eastAsia="en-US"/>
              </w:rPr>
            </w:pPr>
            <w:r w:rsidRPr="00F42C72">
              <w:rPr>
                <w:rFonts w:eastAsiaTheme="minorHAnsi" w:cs="Arial"/>
                <w:color w:val="auto"/>
                <w:lang w:eastAsia="en-US"/>
              </w:rPr>
              <w:t>The Complainant allege</w:t>
            </w:r>
            <w:r w:rsidR="00863F73">
              <w:rPr>
                <w:rFonts w:eastAsiaTheme="minorHAnsi" w:cs="Arial"/>
                <w:color w:val="auto"/>
                <w:lang w:eastAsia="en-US"/>
              </w:rPr>
              <w:t>d</w:t>
            </w:r>
            <w:r w:rsidR="007C0CE8">
              <w:rPr>
                <w:rFonts w:eastAsiaTheme="minorHAnsi" w:cs="Arial"/>
                <w:color w:val="auto"/>
                <w:lang w:eastAsia="en-US"/>
              </w:rPr>
              <w:t xml:space="preserve"> that the Subject Councillor, during a telephone call, spoke to the Complainant in a belittling, bullying, aggressive and threatening manner.  The Subject Councillor referred to the Complainant as incompetent, </w:t>
            </w:r>
            <w:r w:rsidR="00486462">
              <w:rPr>
                <w:rFonts w:eastAsiaTheme="minorHAnsi" w:cs="Arial"/>
                <w:color w:val="auto"/>
                <w:lang w:eastAsia="en-US"/>
              </w:rPr>
              <w:t>requiring</w:t>
            </w:r>
            <w:r w:rsidR="007C0CE8">
              <w:rPr>
                <w:rFonts w:eastAsiaTheme="minorHAnsi" w:cs="Arial"/>
                <w:color w:val="auto"/>
                <w:lang w:eastAsia="en-US"/>
              </w:rPr>
              <w:t xml:space="preserve"> performance management and useless, stating that a child could do better.  This</w:t>
            </w:r>
            <w:r w:rsidRPr="00F42C72">
              <w:rPr>
                <w:rFonts w:eastAsiaTheme="minorHAnsi" w:cs="Arial"/>
                <w:color w:val="auto"/>
                <w:lang w:eastAsia="en-US"/>
              </w:rPr>
              <w:t xml:space="preserve"> was in breach of the Parish Council’s Code of Conduct (para 9) and </w:t>
            </w:r>
            <w:r w:rsidR="00F45067" w:rsidRPr="00F42C72">
              <w:rPr>
                <w:rFonts w:eastAsiaTheme="minorHAnsi" w:cs="Arial"/>
                <w:color w:val="auto"/>
                <w:lang w:eastAsia="en-US"/>
              </w:rPr>
              <w:t>its</w:t>
            </w:r>
            <w:r w:rsidRPr="00F42C72">
              <w:rPr>
                <w:rFonts w:eastAsiaTheme="minorHAnsi" w:cs="Arial"/>
                <w:color w:val="auto"/>
                <w:lang w:eastAsia="en-US"/>
              </w:rPr>
              <w:t xml:space="preserve"> Member and Officer Protocol (para 3.2.d) which sta</w:t>
            </w:r>
            <w:r w:rsidR="009A5946">
              <w:rPr>
                <w:rFonts w:eastAsiaTheme="minorHAnsi" w:cs="Arial"/>
                <w:color w:val="auto"/>
                <w:lang w:eastAsia="en-US"/>
              </w:rPr>
              <w:t>tes that Officers can expect from C</w:t>
            </w:r>
            <w:r w:rsidRPr="00F42C72">
              <w:rPr>
                <w:rFonts w:eastAsiaTheme="minorHAnsi" w:cs="Arial"/>
                <w:color w:val="auto"/>
                <w:lang w:eastAsia="en-US"/>
              </w:rPr>
              <w:t xml:space="preserve">ouncillors </w:t>
            </w:r>
            <w:r w:rsidRPr="00F42C72">
              <w:rPr>
                <w:rFonts w:eastAsiaTheme="minorHAnsi" w:cs="Arial"/>
                <w:color w:val="auto"/>
                <w:lang w:eastAsia="en-US"/>
              </w:rPr>
              <w:lastRenderedPageBreak/>
              <w:t xml:space="preserve">respect, dignity and courtesy. </w:t>
            </w:r>
            <w:r w:rsidR="00B9139D">
              <w:rPr>
                <w:rFonts w:eastAsiaTheme="minorHAnsi" w:cs="Arial"/>
                <w:color w:val="auto"/>
                <w:lang w:eastAsia="en-US"/>
              </w:rPr>
              <w:t>The following sections of the Code were therefore relevant:</w:t>
            </w:r>
          </w:p>
          <w:p w:rsidR="003E3C77" w:rsidRDefault="003E3C77" w:rsidP="003E3C77">
            <w:pPr>
              <w:pStyle w:val="ListParagraph"/>
              <w:numPr>
                <w:ilvl w:val="0"/>
                <w:numId w:val="0"/>
              </w:numPr>
              <w:autoSpaceDE w:val="0"/>
              <w:autoSpaceDN w:val="0"/>
              <w:adjustRightInd w:val="0"/>
              <w:spacing w:after="0"/>
              <w:ind w:left="357"/>
              <w:rPr>
                <w:rFonts w:eastAsiaTheme="minorHAnsi" w:cs="Arial"/>
                <w:color w:val="auto"/>
                <w:lang w:eastAsia="en-US"/>
              </w:rPr>
            </w:pPr>
          </w:p>
          <w:tbl>
            <w:tblPr>
              <w:tblStyle w:val="TableGrid"/>
              <w:tblW w:w="94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30"/>
              <w:gridCol w:w="8104"/>
            </w:tblGrid>
            <w:tr w:rsidR="003E3C77" w:rsidRPr="00533960" w:rsidTr="003E3C77">
              <w:trPr>
                <w:trHeight w:val="414"/>
              </w:trPr>
              <w:tc>
                <w:tcPr>
                  <w:tcW w:w="9434" w:type="dxa"/>
                  <w:gridSpan w:val="2"/>
                </w:tcPr>
                <w:p w:rsidR="003E3C77" w:rsidRPr="00533960" w:rsidRDefault="003E3C77" w:rsidP="003E3C77">
                  <w:pPr>
                    <w:rPr>
                      <w:rFonts w:asciiTheme="minorHAnsi" w:hAnsiTheme="minorHAnsi" w:cstheme="minorHAnsi"/>
                      <w:b/>
                      <w:bCs/>
                    </w:rPr>
                  </w:pPr>
                  <w:r w:rsidRPr="00533960">
                    <w:rPr>
                      <w:rFonts w:asciiTheme="minorHAnsi" w:hAnsiTheme="minorHAnsi" w:cstheme="minorHAnsi"/>
                      <w:b/>
                      <w:bCs/>
                    </w:rPr>
                    <w:t>General Obligations</w:t>
                  </w:r>
                </w:p>
              </w:tc>
            </w:tr>
            <w:tr w:rsidR="003E3C77" w:rsidRPr="00533960" w:rsidTr="003E3C77">
              <w:trPr>
                <w:trHeight w:val="1441"/>
              </w:trPr>
              <w:tc>
                <w:tcPr>
                  <w:tcW w:w="1330" w:type="dxa"/>
                </w:tcPr>
                <w:p w:rsidR="003E3C77" w:rsidRPr="00533960" w:rsidRDefault="003E3C77" w:rsidP="003E3C77">
                  <w:pPr>
                    <w:rPr>
                      <w:rFonts w:asciiTheme="minorHAnsi" w:hAnsiTheme="minorHAnsi" w:cstheme="minorHAnsi"/>
                    </w:rPr>
                  </w:pPr>
                  <w:r w:rsidRPr="00533960">
                    <w:rPr>
                      <w:rFonts w:asciiTheme="minorHAnsi" w:hAnsiTheme="minorHAnsi" w:cstheme="minorHAnsi"/>
                    </w:rPr>
                    <w:t>9</w:t>
                  </w:r>
                </w:p>
              </w:tc>
              <w:tc>
                <w:tcPr>
                  <w:tcW w:w="8104" w:type="dxa"/>
                </w:tcPr>
                <w:p w:rsidR="003E3C77" w:rsidRPr="00533960" w:rsidRDefault="003E3C77" w:rsidP="003E3C77">
                  <w:pPr>
                    <w:rPr>
                      <w:rFonts w:asciiTheme="minorHAnsi" w:hAnsiTheme="minorHAnsi" w:cstheme="minorHAnsi"/>
                    </w:rPr>
                  </w:pPr>
                  <w:r w:rsidRPr="00533960">
                    <w:rPr>
                      <w:rFonts w:asciiTheme="minorHAnsi" w:hAnsiTheme="minorHAnsi" w:cstheme="minorHAnsi"/>
                    </w:rPr>
                    <w:t>Respect for others</w:t>
                  </w:r>
                </w:p>
                <w:p w:rsidR="003E3C77" w:rsidRPr="00533960" w:rsidRDefault="003E3C77" w:rsidP="003E3C77">
                  <w:pPr>
                    <w:rPr>
                      <w:rFonts w:asciiTheme="minorHAnsi" w:hAnsiTheme="minorHAnsi" w:cstheme="minorHAnsi"/>
                    </w:rPr>
                  </w:pPr>
                  <w:r w:rsidRPr="00533960">
                    <w:rPr>
                      <w:rFonts w:asciiTheme="minorHAnsi" w:hAnsiTheme="minorHAnsi" w:cstheme="minorHAnsi"/>
                    </w:rPr>
                    <w:t>You must treat others with respect and ensure that you are aware of and comply with all legal obligations that apply to you as a member of co-opted member of the council and act within the law;</w:t>
                  </w:r>
                </w:p>
              </w:tc>
            </w:tr>
            <w:tr w:rsidR="003E3C77" w:rsidRPr="00533960" w:rsidTr="003E3C77">
              <w:trPr>
                <w:trHeight w:val="828"/>
              </w:trPr>
              <w:tc>
                <w:tcPr>
                  <w:tcW w:w="1330" w:type="dxa"/>
                </w:tcPr>
                <w:p w:rsidR="003E3C77" w:rsidRPr="00533960" w:rsidRDefault="003E3C77" w:rsidP="003E3C77">
                  <w:pPr>
                    <w:rPr>
                      <w:rFonts w:asciiTheme="minorHAnsi" w:hAnsiTheme="minorHAnsi" w:cstheme="minorHAnsi"/>
                    </w:rPr>
                  </w:pPr>
                  <w:r w:rsidRPr="00533960">
                    <w:rPr>
                      <w:rFonts w:asciiTheme="minorHAnsi" w:hAnsiTheme="minorHAnsi" w:cstheme="minorHAnsi"/>
                    </w:rPr>
                    <w:t>10</w:t>
                  </w:r>
                </w:p>
              </w:tc>
              <w:tc>
                <w:tcPr>
                  <w:tcW w:w="8104" w:type="dxa"/>
                </w:tcPr>
                <w:p w:rsidR="003E3C77" w:rsidRPr="00533960" w:rsidRDefault="003E3C77" w:rsidP="003E3C77">
                  <w:pPr>
                    <w:rPr>
                      <w:rFonts w:asciiTheme="minorHAnsi" w:hAnsiTheme="minorHAnsi" w:cstheme="minorHAnsi"/>
                    </w:rPr>
                  </w:pPr>
                  <w:r w:rsidRPr="00533960">
                    <w:rPr>
                      <w:rFonts w:asciiTheme="minorHAnsi" w:hAnsiTheme="minorHAnsi" w:cstheme="minorHAnsi"/>
                    </w:rPr>
                    <w:t>Bullying</w:t>
                  </w:r>
                </w:p>
                <w:p w:rsidR="003E3C77" w:rsidRPr="00533960" w:rsidRDefault="003E3C77" w:rsidP="003E3C77">
                  <w:pPr>
                    <w:rPr>
                      <w:rFonts w:asciiTheme="minorHAnsi" w:hAnsiTheme="minorHAnsi" w:cstheme="minorHAnsi"/>
                    </w:rPr>
                  </w:pPr>
                  <w:r w:rsidRPr="00533960">
                    <w:rPr>
                      <w:rFonts w:asciiTheme="minorHAnsi" w:hAnsiTheme="minorHAnsi" w:cstheme="minorHAnsi"/>
                    </w:rPr>
                    <w:t>You must not bully any person</w:t>
                  </w:r>
                </w:p>
              </w:tc>
            </w:tr>
          </w:tbl>
          <w:p w:rsidR="003E3C77" w:rsidRDefault="003E3C77" w:rsidP="003E3C77">
            <w:pPr>
              <w:pStyle w:val="ListParagraph"/>
              <w:numPr>
                <w:ilvl w:val="0"/>
                <w:numId w:val="0"/>
              </w:numPr>
              <w:autoSpaceDE w:val="0"/>
              <w:autoSpaceDN w:val="0"/>
              <w:adjustRightInd w:val="0"/>
              <w:spacing w:after="0"/>
              <w:ind w:left="357"/>
              <w:rPr>
                <w:rFonts w:eastAsiaTheme="minorHAnsi" w:cs="Arial"/>
                <w:color w:val="auto"/>
                <w:lang w:eastAsia="en-US"/>
              </w:rPr>
            </w:pPr>
          </w:p>
          <w:p w:rsidR="003E3C77" w:rsidRPr="009A5946" w:rsidRDefault="003E3C77" w:rsidP="00D86804">
            <w:pPr>
              <w:pStyle w:val="ListParagraph"/>
              <w:numPr>
                <w:ilvl w:val="0"/>
                <w:numId w:val="7"/>
              </w:numPr>
              <w:autoSpaceDE w:val="0"/>
              <w:autoSpaceDN w:val="0"/>
              <w:adjustRightInd w:val="0"/>
              <w:spacing w:after="0"/>
              <w:rPr>
                <w:rFonts w:eastAsiaTheme="minorHAnsi" w:cs="Arial"/>
                <w:i/>
                <w:color w:val="auto"/>
                <w:lang w:eastAsia="en-US"/>
              </w:rPr>
            </w:pPr>
            <w:r>
              <w:rPr>
                <w:rFonts w:eastAsiaTheme="minorHAnsi" w:cs="Arial"/>
                <w:color w:val="auto"/>
                <w:lang w:eastAsia="en-US"/>
              </w:rPr>
              <w:t>Upon receipt of the complaint, the Monitoring Officer undertook an assessment of the complaint, in consultation with the Independent Person, and concluded that the complaint merited further investigation.  An Investigating Officer of Oxford City Council was appointed to carry out the investigation and provided a report to the Monitoring Officer.</w:t>
            </w:r>
          </w:p>
          <w:p w:rsidR="009A5946" w:rsidRPr="003E3C77" w:rsidRDefault="009A5946" w:rsidP="009A5946">
            <w:pPr>
              <w:pStyle w:val="ListParagraph"/>
              <w:numPr>
                <w:ilvl w:val="0"/>
                <w:numId w:val="0"/>
              </w:numPr>
              <w:autoSpaceDE w:val="0"/>
              <w:autoSpaceDN w:val="0"/>
              <w:adjustRightInd w:val="0"/>
              <w:spacing w:after="0"/>
              <w:ind w:left="360"/>
              <w:rPr>
                <w:rFonts w:eastAsiaTheme="minorHAnsi" w:cs="Arial"/>
                <w:i/>
                <w:color w:val="auto"/>
                <w:lang w:eastAsia="en-US"/>
              </w:rPr>
            </w:pPr>
          </w:p>
          <w:p w:rsidR="003E3C77" w:rsidRPr="003E3C77" w:rsidRDefault="003E3C77" w:rsidP="00D86804">
            <w:pPr>
              <w:pStyle w:val="ListParagraph"/>
              <w:numPr>
                <w:ilvl w:val="0"/>
                <w:numId w:val="7"/>
              </w:numPr>
              <w:autoSpaceDE w:val="0"/>
              <w:autoSpaceDN w:val="0"/>
              <w:adjustRightInd w:val="0"/>
              <w:spacing w:after="0"/>
              <w:rPr>
                <w:rFonts w:eastAsiaTheme="minorHAnsi" w:cs="Arial"/>
                <w:i/>
                <w:color w:val="auto"/>
                <w:lang w:eastAsia="en-US"/>
              </w:rPr>
            </w:pPr>
            <w:r>
              <w:rPr>
                <w:rFonts w:eastAsiaTheme="minorHAnsi" w:cs="Arial"/>
                <w:color w:val="auto"/>
                <w:lang w:eastAsia="en-US"/>
              </w:rPr>
              <w:t xml:space="preserve">The Monitoring Officer received the Investigator’s report and noted that evidence was provided to support a breach of paragraphs 9 and 10 of the Code.  The Monitoring Officer therefore concluded to refer the complaint to the Local </w:t>
            </w:r>
            <w:r w:rsidR="00BB30CC">
              <w:rPr>
                <w:rFonts w:eastAsiaTheme="minorHAnsi" w:cs="Arial"/>
                <w:color w:val="auto"/>
                <w:lang w:eastAsia="en-US"/>
              </w:rPr>
              <w:t xml:space="preserve">Hearing </w:t>
            </w:r>
            <w:r w:rsidR="008B7E47">
              <w:rPr>
                <w:rFonts w:eastAsiaTheme="minorHAnsi" w:cs="Arial"/>
                <w:color w:val="auto"/>
                <w:lang w:eastAsia="en-US"/>
              </w:rPr>
              <w:t xml:space="preserve">Panel </w:t>
            </w:r>
            <w:r>
              <w:rPr>
                <w:rFonts w:eastAsiaTheme="minorHAnsi" w:cs="Arial"/>
                <w:color w:val="auto"/>
                <w:lang w:eastAsia="en-US"/>
              </w:rPr>
              <w:t>of the Standards Committee for determination.</w:t>
            </w:r>
          </w:p>
          <w:p w:rsidR="003E3C77" w:rsidRDefault="003E3C77" w:rsidP="003E3C77">
            <w:pPr>
              <w:autoSpaceDE w:val="0"/>
              <w:autoSpaceDN w:val="0"/>
              <w:adjustRightInd w:val="0"/>
              <w:spacing w:after="0"/>
              <w:rPr>
                <w:rFonts w:eastAsiaTheme="minorHAnsi" w:cs="Arial"/>
                <w:color w:val="auto"/>
                <w:lang w:eastAsia="en-US"/>
              </w:rPr>
            </w:pPr>
          </w:p>
          <w:p w:rsidR="008B7E47" w:rsidRDefault="008B7E47" w:rsidP="003E3C77">
            <w:pPr>
              <w:autoSpaceDE w:val="0"/>
              <w:autoSpaceDN w:val="0"/>
              <w:adjustRightInd w:val="0"/>
              <w:spacing w:after="0"/>
              <w:rPr>
                <w:rFonts w:eastAsiaTheme="minorHAnsi" w:cs="Arial"/>
                <w:b/>
                <w:color w:val="auto"/>
                <w:lang w:eastAsia="en-US"/>
              </w:rPr>
            </w:pPr>
            <w:r>
              <w:rPr>
                <w:rFonts w:eastAsiaTheme="minorHAnsi" w:cs="Arial"/>
                <w:b/>
                <w:color w:val="auto"/>
                <w:lang w:eastAsia="en-US"/>
              </w:rPr>
              <w:t xml:space="preserve">Local Hearing </w:t>
            </w:r>
            <w:r w:rsidR="00B9139D">
              <w:rPr>
                <w:rFonts w:eastAsiaTheme="minorHAnsi" w:cs="Arial"/>
                <w:b/>
                <w:color w:val="auto"/>
                <w:lang w:eastAsia="en-US"/>
              </w:rPr>
              <w:t xml:space="preserve">Panel </w:t>
            </w:r>
            <w:r>
              <w:rPr>
                <w:rFonts w:eastAsiaTheme="minorHAnsi" w:cs="Arial"/>
                <w:b/>
                <w:color w:val="auto"/>
                <w:lang w:eastAsia="en-US"/>
              </w:rPr>
              <w:t>of the Standards Committee</w:t>
            </w:r>
            <w:r w:rsidR="00D578E9">
              <w:rPr>
                <w:rFonts w:eastAsiaTheme="minorHAnsi" w:cs="Arial"/>
                <w:b/>
                <w:color w:val="auto"/>
                <w:lang w:eastAsia="en-US"/>
              </w:rPr>
              <w:t xml:space="preserve"> 11 </w:t>
            </w:r>
            <w:r w:rsidR="00F45067">
              <w:rPr>
                <w:rFonts w:eastAsiaTheme="minorHAnsi" w:cs="Arial"/>
                <w:b/>
                <w:color w:val="auto"/>
                <w:lang w:eastAsia="en-US"/>
              </w:rPr>
              <w:t>January</w:t>
            </w:r>
            <w:r w:rsidR="00D578E9">
              <w:rPr>
                <w:rFonts w:eastAsiaTheme="minorHAnsi" w:cs="Arial"/>
                <w:b/>
                <w:color w:val="auto"/>
                <w:lang w:eastAsia="en-US"/>
              </w:rPr>
              <w:t xml:space="preserve"> 202</w:t>
            </w:r>
            <w:r w:rsidR="00F45067">
              <w:rPr>
                <w:rFonts w:eastAsiaTheme="minorHAnsi" w:cs="Arial"/>
                <w:b/>
                <w:color w:val="auto"/>
                <w:lang w:eastAsia="en-US"/>
              </w:rPr>
              <w:t>3</w:t>
            </w:r>
          </w:p>
          <w:p w:rsidR="008B7E47" w:rsidRDefault="008B7E47" w:rsidP="003E3C77">
            <w:pPr>
              <w:autoSpaceDE w:val="0"/>
              <w:autoSpaceDN w:val="0"/>
              <w:adjustRightInd w:val="0"/>
              <w:spacing w:after="0"/>
              <w:rPr>
                <w:rFonts w:eastAsiaTheme="minorHAnsi" w:cs="Arial"/>
                <w:color w:val="auto"/>
                <w:lang w:eastAsia="en-US"/>
              </w:rPr>
            </w:pPr>
          </w:p>
          <w:p w:rsidR="008B7E47" w:rsidRDefault="008B7E47"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Local Hearing</w:t>
            </w:r>
            <w:r w:rsidR="00B9139D">
              <w:rPr>
                <w:rFonts w:eastAsiaTheme="minorHAnsi" w:cs="Arial"/>
                <w:color w:val="auto"/>
                <w:lang w:eastAsia="en-US"/>
              </w:rPr>
              <w:t xml:space="preserve"> Panel</w:t>
            </w:r>
            <w:r>
              <w:rPr>
                <w:rFonts w:eastAsiaTheme="minorHAnsi" w:cs="Arial"/>
                <w:color w:val="auto"/>
                <w:lang w:eastAsia="en-US"/>
              </w:rPr>
              <w:t>, compris</w:t>
            </w:r>
            <w:r w:rsidR="00D5078B">
              <w:rPr>
                <w:rFonts w:eastAsiaTheme="minorHAnsi" w:cs="Arial"/>
                <w:color w:val="auto"/>
                <w:lang w:eastAsia="en-US"/>
              </w:rPr>
              <w:t>ed</w:t>
            </w:r>
            <w:r>
              <w:rPr>
                <w:rFonts w:eastAsiaTheme="minorHAnsi" w:cs="Arial"/>
                <w:color w:val="auto"/>
                <w:lang w:eastAsia="en-US"/>
              </w:rPr>
              <w:t xml:space="preserve"> of three members of the Standards Committee, </w:t>
            </w:r>
            <w:r w:rsidR="00D5078B">
              <w:rPr>
                <w:rFonts w:eastAsiaTheme="minorHAnsi" w:cs="Arial"/>
                <w:color w:val="auto"/>
                <w:lang w:eastAsia="en-US"/>
              </w:rPr>
              <w:t xml:space="preserve">and </w:t>
            </w:r>
            <w:r>
              <w:rPr>
                <w:rFonts w:eastAsiaTheme="minorHAnsi" w:cs="Arial"/>
                <w:color w:val="auto"/>
                <w:lang w:eastAsia="en-US"/>
              </w:rPr>
              <w:t xml:space="preserve">met on 11 </w:t>
            </w:r>
            <w:r w:rsidR="00F45067">
              <w:rPr>
                <w:rFonts w:eastAsiaTheme="minorHAnsi" w:cs="Arial"/>
                <w:color w:val="auto"/>
                <w:lang w:eastAsia="en-US"/>
              </w:rPr>
              <w:t>January</w:t>
            </w:r>
            <w:r>
              <w:rPr>
                <w:rFonts w:eastAsiaTheme="minorHAnsi" w:cs="Arial"/>
                <w:color w:val="auto"/>
                <w:lang w:eastAsia="en-US"/>
              </w:rPr>
              <w:t xml:space="preserve"> 202</w:t>
            </w:r>
            <w:r w:rsidR="00F45067">
              <w:rPr>
                <w:rFonts w:eastAsiaTheme="minorHAnsi" w:cs="Arial"/>
                <w:color w:val="auto"/>
                <w:lang w:eastAsia="en-US"/>
              </w:rPr>
              <w:t>3</w:t>
            </w:r>
            <w:r>
              <w:rPr>
                <w:rFonts w:eastAsiaTheme="minorHAnsi" w:cs="Arial"/>
                <w:color w:val="auto"/>
                <w:lang w:eastAsia="en-US"/>
              </w:rPr>
              <w:t xml:space="preserve"> to consider the Investigating Officer’s report and to make a determination as to whether the Subject Member had breached the Littlemore Parish Code of Conduct.  </w:t>
            </w:r>
            <w:r w:rsidR="00774DD5">
              <w:rPr>
                <w:rFonts w:eastAsiaTheme="minorHAnsi" w:cs="Arial"/>
                <w:color w:val="auto"/>
                <w:lang w:eastAsia="en-US"/>
              </w:rPr>
              <w:t>The Subject Councillor was in attendance. The Sub-Committee did not resolve to exclude the public from the meeting.</w:t>
            </w:r>
          </w:p>
          <w:p w:rsidR="00774DD5" w:rsidRDefault="00774DD5" w:rsidP="00774DD5">
            <w:pPr>
              <w:pStyle w:val="ListParagraph"/>
              <w:numPr>
                <w:ilvl w:val="0"/>
                <w:numId w:val="0"/>
              </w:numPr>
              <w:autoSpaceDE w:val="0"/>
              <w:autoSpaceDN w:val="0"/>
              <w:adjustRightInd w:val="0"/>
              <w:spacing w:after="0"/>
              <w:ind w:left="360"/>
              <w:rPr>
                <w:rFonts w:eastAsiaTheme="minorHAnsi" w:cs="Arial"/>
                <w:color w:val="auto"/>
                <w:lang w:eastAsia="en-US"/>
              </w:rPr>
            </w:pPr>
          </w:p>
          <w:p w:rsidR="00774DD5" w:rsidRDefault="00774DD5"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Investigating Officer and the Subject Councillor presented their case and both had the opportunity to call witnesses and ask questions of each other’s witnesses.</w:t>
            </w:r>
            <w:r w:rsidR="00486462">
              <w:rPr>
                <w:rFonts w:eastAsiaTheme="minorHAnsi" w:cs="Arial"/>
                <w:color w:val="auto"/>
                <w:lang w:eastAsia="en-US"/>
              </w:rPr>
              <w:t xml:space="preserve">  Neither the Investigating Officer nor Subject Councillor elected to bring witnesses, and answered questions put to them by the Panel.</w:t>
            </w:r>
          </w:p>
          <w:p w:rsidR="00774DD5" w:rsidRPr="00774DD5" w:rsidRDefault="00774DD5" w:rsidP="00774DD5">
            <w:pPr>
              <w:pStyle w:val="ListParagraph"/>
              <w:numPr>
                <w:ilvl w:val="0"/>
                <w:numId w:val="0"/>
              </w:numPr>
              <w:ind w:left="426"/>
              <w:rPr>
                <w:rFonts w:eastAsiaTheme="minorHAnsi" w:cs="Arial"/>
                <w:color w:val="auto"/>
                <w:lang w:eastAsia="en-US"/>
              </w:rPr>
            </w:pPr>
          </w:p>
          <w:p w:rsidR="000035F9" w:rsidRPr="00F45067" w:rsidRDefault="000035F9" w:rsidP="00F45067">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 xml:space="preserve">The Investigating Officer summed up </w:t>
            </w:r>
            <w:r w:rsidR="0078366F">
              <w:rPr>
                <w:rFonts w:eastAsiaTheme="minorHAnsi" w:cs="Arial"/>
                <w:color w:val="auto"/>
                <w:lang w:eastAsia="en-US"/>
              </w:rPr>
              <w:t>her report</w:t>
            </w:r>
            <w:r w:rsidR="00F45067">
              <w:rPr>
                <w:rFonts w:eastAsiaTheme="minorHAnsi" w:cs="Arial"/>
                <w:color w:val="auto"/>
                <w:lang w:eastAsia="en-US"/>
              </w:rPr>
              <w:t xml:space="preserve"> that in her opinion the Subject Councillor let his frustrations get the better of him and he spoke to the Complainant in an offensive and abusive way.  Whilst it was noted that the Subject Councillor was entitled to a legitimate challenge of the delays in dealing with the lighting issues and the performance of the County Council’s Road &amp; Safety Team, his direct criticism of the Complainant during the conversation on 23 March 2022 amounted to personal abuse and was offensive in nature.  The approach taken by the Subject Councillor demonstrated a lack of understanding that the language </w:t>
            </w:r>
            <w:r w:rsidR="00486462">
              <w:rPr>
                <w:rFonts w:eastAsiaTheme="minorHAnsi" w:cs="Arial"/>
                <w:color w:val="auto"/>
                <w:lang w:eastAsia="en-US"/>
              </w:rPr>
              <w:t xml:space="preserve">he </w:t>
            </w:r>
            <w:r w:rsidR="00F45067">
              <w:rPr>
                <w:rFonts w:eastAsiaTheme="minorHAnsi" w:cs="Arial"/>
                <w:color w:val="auto"/>
                <w:lang w:eastAsia="en-US"/>
              </w:rPr>
              <w:t>used was inappropriate, offensive, insulting, humiliating and delivered in a manner that would undermine the Complainant.</w:t>
            </w:r>
          </w:p>
          <w:p w:rsidR="009A5946" w:rsidRPr="009A5946" w:rsidRDefault="009A5946" w:rsidP="009A5946">
            <w:pPr>
              <w:pStyle w:val="ListParagraph"/>
              <w:numPr>
                <w:ilvl w:val="0"/>
                <w:numId w:val="0"/>
              </w:numPr>
              <w:ind w:left="426"/>
              <w:rPr>
                <w:rFonts w:eastAsiaTheme="minorHAnsi" w:cs="Arial"/>
                <w:color w:val="auto"/>
                <w:lang w:eastAsia="en-US"/>
              </w:rPr>
            </w:pPr>
          </w:p>
          <w:p w:rsidR="00F45067" w:rsidRDefault="0045126F"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 xml:space="preserve">The Subject Councillor summed up his case and stated that he did not feel </w:t>
            </w:r>
            <w:r w:rsidR="00F45067">
              <w:rPr>
                <w:rFonts w:eastAsiaTheme="minorHAnsi" w:cs="Arial"/>
                <w:color w:val="auto"/>
                <w:lang w:eastAsia="en-US"/>
              </w:rPr>
              <w:t xml:space="preserve">that his comments regarding the Complainant </w:t>
            </w:r>
            <w:r w:rsidR="003E27FE">
              <w:rPr>
                <w:rFonts w:eastAsiaTheme="minorHAnsi" w:cs="Arial"/>
                <w:color w:val="auto"/>
                <w:lang w:eastAsia="en-US"/>
              </w:rPr>
              <w:t>requiring</w:t>
            </w:r>
            <w:r w:rsidR="00F45067">
              <w:rPr>
                <w:rFonts w:eastAsiaTheme="minorHAnsi" w:cs="Arial"/>
                <w:color w:val="auto"/>
                <w:lang w:eastAsia="en-US"/>
              </w:rPr>
              <w:t xml:space="preserve"> performance management constitute</w:t>
            </w:r>
            <w:r w:rsidR="003E27FE">
              <w:rPr>
                <w:rFonts w:eastAsiaTheme="minorHAnsi" w:cs="Arial"/>
                <w:color w:val="auto"/>
                <w:lang w:eastAsia="en-US"/>
              </w:rPr>
              <w:t>d</w:t>
            </w:r>
            <w:r w:rsidR="00F45067">
              <w:rPr>
                <w:rFonts w:eastAsiaTheme="minorHAnsi" w:cs="Arial"/>
                <w:color w:val="auto"/>
                <w:lang w:eastAsia="en-US"/>
              </w:rPr>
              <w:t xml:space="preserve"> bullying</w:t>
            </w:r>
            <w:r w:rsidR="003E27FE">
              <w:rPr>
                <w:rFonts w:eastAsiaTheme="minorHAnsi" w:cs="Arial"/>
                <w:color w:val="auto"/>
                <w:lang w:eastAsia="en-US"/>
              </w:rPr>
              <w:t xml:space="preserve"> and felt that he was being truthful.  He denied that he had threatened to advertise the Complainant’s incompetence, and that of his team, on social media, and added that he had meant that he would </w:t>
            </w:r>
            <w:r w:rsidR="00486462">
              <w:rPr>
                <w:rFonts w:eastAsiaTheme="minorHAnsi" w:cs="Arial"/>
                <w:color w:val="auto"/>
                <w:lang w:eastAsia="en-US"/>
              </w:rPr>
              <w:t xml:space="preserve">only </w:t>
            </w:r>
            <w:r w:rsidR="003E27FE">
              <w:rPr>
                <w:rFonts w:eastAsiaTheme="minorHAnsi" w:cs="Arial"/>
                <w:color w:val="auto"/>
                <w:lang w:eastAsia="en-US"/>
              </w:rPr>
              <w:t>update the community Facebook page with the lack of</w:t>
            </w:r>
            <w:r w:rsidR="00182385">
              <w:rPr>
                <w:rFonts w:eastAsiaTheme="minorHAnsi" w:cs="Arial"/>
                <w:color w:val="auto"/>
                <w:lang w:eastAsia="en-US"/>
              </w:rPr>
              <w:t xml:space="preserve"> progress made by the Council.  The Subject Councillor </w:t>
            </w:r>
            <w:r w:rsidR="00ED30D2">
              <w:rPr>
                <w:rFonts w:eastAsiaTheme="minorHAnsi" w:cs="Arial"/>
                <w:color w:val="auto"/>
                <w:lang w:eastAsia="en-US"/>
              </w:rPr>
              <w:t>further stated</w:t>
            </w:r>
            <w:r w:rsidR="00182385">
              <w:rPr>
                <w:rFonts w:eastAsiaTheme="minorHAnsi" w:cs="Arial"/>
                <w:color w:val="auto"/>
                <w:lang w:eastAsia="en-US"/>
              </w:rPr>
              <w:t xml:space="preserve"> that he had felt the Complainant to be racially </w:t>
            </w:r>
            <w:r w:rsidR="00182385">
              <w:rPr>
                <w:rFonts w:eastAsiaTheme="minorHAnsi" w:cs="Arial"/>
                <w:color w:val="auto"/>
                <w:lang w:eastAsia="en-US"/>
              </w:rPr>
              <w:lastRenderedPageBreak/>
              <w:t xml:space="preserve">motivated in </w:t>
            </w:r>
            <w:r w:rsidR="00ED30D2">
              <w:rPr>
                <w:rFonts w:eastAsiaTheme="minorHAnsi" w:cs="Arial"/>
                <w:color w:val="auto"/>
                <w:lang w:eastAsia="en-US"/>
              </w:rPr>
              <w:t>making this complaint, of which despite not meeting personally, could have easily been established from his Facebook profile.</w:t>
            </w:r>
          </w:p>
          <w:p w:rsidR="007A1A96" w:rsidRPr="003E27FE" w:rsidRDefault="007A1A96" w:rsidP="003E27FE">
            <w:pPr>
              <w:pStyle w:val="ListParagraph"/>
              <w:numPr>
                <w:ilvl w:val="0"/>
                <w:numId w:val="0"/>
              </w:numPr>
              <w:ind w:left="426"/>
              <w:rPr>
                <w:rFonts w:eastAsiaTheme="minorHAnsi" w:cs="Arial"/>
                <w:color w:val="auto"/>
                <w:lang w:eastAsia="en-US"/>
              </w:rPr>
            </w:pPr>
          </w:p>
          <w:p w:rsidR="007A1A96" w:rsidRPr="007A1A96" w:rsidRDefault="007A1A96" w:rsidP="007A1A96">
            <w:pPr>
              <w:autoSpaceDE w:val="0"/>
              <w:autoSpaceDN w:val="0"/>
              <w:adjustRightInd w:val="0"/>
              <w:spacing w:after="0"/>
              <w:ind w:left="426" w:hanging="426"/>
              <w:rPr>
                <w:rFonts w:eastAsiaTheme="minorHAnsi" w:cs="Arial"/>
                <w:b/>
                <w:color w:val="auto"/>
                <w:lang w:eastAsia="en-US"/>
              </w:rPr>
            </w:pPr>
            <w:r>
              <w:rPr>
                <w:rFonts w:eastAsiaTheme="minorHAnsi" w:cs="Arial"/>
                <w:b/>
                <w:color w:val="auto"/>
                <w:lang w:eastAsia="en-US"/>
              </w:rPr>
              <w:t>Considerations and Conclusions</w:t>
            </w:r>
          </w:p>
          <w:p w:rsidR="007A1A96" w:rsidRPr="007A1A96" w:rsidRDefault="007A1A96" w:rsidP="007A1A96">
            <w:pPr>
              <w:autoSpaceDE w:val="0"/>
              <w:autoSpaceDN w:val="0"/>
              <w:adjustRightInd w:val="0"/>
              <w:spacing w:after="0"/>
              <w:ind w:left="426" w:hanging="426"/>
              <w:rPr>
                <w:rFonts w:eastAsiaTheme="minorHAnsi" w:cs="Arial"/>
                <w:color w:val="auto"/>
                <w:lang w:eastAsia="en-US"/>
              </w:rPr>
            </w:pPr>
          </w:p>
          <w:p w:rsidR="0045126F" w:rsidRDefault="004B04AE"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Local Hearing Panel had before them the following documentation:</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Monitoring Officer Report</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Investigator’s Report</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Complaint Form</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Subject Member’s response</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Arrangements for dealing with code of conduct complaints</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Littlemore Parish Code of Conduct</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Local Hearing Panel Procedure Rules</w:t>
            </w:r>
          </w:p>
          <w:p w:rsidR="004F1EF5" w:rsidRDefault="004F1EF5" w:rsidP="004F1EF5">
            <w:pPr>
              <w:autoSpaceDE w:val="0"/>
              <w:autoSpaceDN w:val="0"/>
              <w:adjustRightInd w:val="0"/>
              <w:spacing w:after="0"/>
              <w:rPr>
                <w:rFonts w:eastAsiaTheme="minorHAnsi" w:cs="Arial"/>
                <w:color w:val="auto"/>
                <w:lang w:eastAsia="en-US"/>
              </w:rPr>
            </w:pPr>
          </w:p>
          <w:p w:rsidR="004F1EF5" w:rsidRPr="004F1EF5" w:rsidRDefault="004F1EF5" w:rsidP="004F1EF5">
            <w:pPr>
              <w:autoSpaceDE w:val="0"/>
              <w:autoSpaceDN w:val="0"/>
              <w:adjustRightInd w:val="0"/>
              <w:spacing w:after="0"/>
              <w:rPr>
                <w:rFonts w:eastAsiaTheme="minorHAnsi" w:cs="Arial"/>
                <w:color w:val="auto"/>
                <w:u w:val="single"/>
                <w:lang w:eastAsia="en-US"/>
              </w:rPr>
            </w:pPr>
            <w:r w:rsidRPr="004F1EF5">
              <w:rPr>
                <w:rFonts w:eastAsiaTheme="minorHAnsi" w:cs="Arial"/>
                <w:color w:val="auto"/>
                <w:u w:val="single"/>
                <w:lang w:eastAsia="en-US"/>
              </w:rPr>
              <w:t>Views of the Independent Person</w:t>
            </w:r>
          </w:p>
          <w:p w:rsidR="004F1EF5" w:rsidRDefault="004F1EF5" w:rsidP="004F1EF5">
            <w:pPr>
              <w:autoSpaceDE w:val="0"/>
              <w:autoSpaceDN w:val="0"/>
              <w:adjustRightInd w:val="0"/>
              <w:spacing w:after="0"/>
              <w:rPr>
                <w:rFonts w:eastAsiaTheme="minorHAnsi" w:cs="Arial"/>
                <w:color w:val="auto"/>
                <w:lang w:eastAsia="en-US"/>
              </w:rPr>
            </w:pPr>
          </w:p>
          <w:p w:rsidR="003E27FE" w:rsidRDefault="004F1EF5" w:rsidP="003E27FE">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 xml:space="preserve">The Independent Person was called to present his opinion to the Local Hearing Panel prior to decision and advised that in the first allegation of respect, he found that the Members’ Code of Conduct had been breached as the Subject Councillor had </w:t>
            </w:r>
            <w:r w:rsidR="003E27FE">
              <w:rPr>
                <w:rFonts w:eastAsiaTheme="minorHAnsi" w:cs="Arial"/>
                <w:color w:val="auto"/>
                <w:lang w:eastAsia="en-US"/>
              </w:rPr>
              <w:t xml:space="preserve">‘crossed the line’ in his manner of speaking to the Complainant in a disrespectful way.  </w:t>
            </w:r>
            <w:r>
              <w:rPr>
                <w:rFonts w:eastAsiaTheme="minorHAnsi" w:cs="Arial"/>
                <w:color w:val="auto"/>
                <w:lang w:eastAsia="en-US"/>
              </w:rPr>
              <w:t xml:space="preserve">He went on to consider the allegation of bullying and advised that whilst it had been made clear throughout the hearing that bullying can be for a singular event and not a pattern of behaviour, </w:t>
            </w:r>
            <w:r w:rsidR="003E27FE">
              <w:rPr>
                <w:rFonts w:eastAsiaTheme="minorHAnsi" w:cs="Arial"/>
                <w:color w:val="auto"/>
                <w:lang w:eastAsia="en-US"/>
              </w:rPr>
              <w:t>he did not feel that this singular event should constitute bullying</w:t>
            </w:r>
            <w:r w:rsidR="00ED30D2">
              <w:rPr>
                <w:rFonts w:eastAsiaTheme="minorHAnsi" w:cs="Arial"/>
                <w:color w:val="auto"/>
                <w:lang w:eastAsia="en-US"/>
              </w:rPr>
              <w:t>,</w:t>
            </w:r>
            <w:r w:rsidR="003E27FE">
              <w:rPr>
                <w:rFonts w:eastAsiaTheme="minorHAnsi" w:cs="Arial"/>
                <w:color w:val="auto"/>
                <w:lang w:eastAsia="en-US"/>
              </w:rPr>
              <w:t xml:space="preserve"> as the Subject Councillor had failed to recognise that the tone, language and methods in communicating </w:t>
            </w:r>
            <w:r w:rsidR="00486462">
              <w:rPr>
                <w:rFonts w:eastAsiaTheme="minorHAnsi" w:cs="Arial"/>
                <w:color w:val="auto"/>
                <w:lang w:eastAsia="en-US"/>
              </w:rPr>
              <w:t xml:space="preserve">used </w:t>
            </w:r>
            <w:r w:rsidR="003E27FE">
              <w:rPr>
                <w:rFonts w:eastAsiaTheme="minorHAnsi" w:cs="Arial"/>
                <w:color w:val="auto"/>
                <w:lang w:eastAsia="en-US"/>
              </w:rPr>
              <w:t>in his work culture would be acceptable in this case.  He felt that the Subject Councillor had ‘gone too far’ in this case, but did not deliberately intend to bully the Complainant in order to get his message across.</w:t>
            </w:r>
          </w:p>
          <w:p w:rsidR="004F1EF5" w:rsidRDefault="004F1EF5" w:rsidP="004F1EF5">
            <w:pPr>
              <w:pStyle w:val="ListParagraph"/>
              <w:numPr>
                <w:ilvl w:val="0"/>
                <w:numId w:val="0"/>
              </w:numPr>
              <w:autoSpaceDE w:val="0"/>
              <w:autoSpaceDN w:val="0"/>
              <w:adjustRightInd w:val="0"/>
              <w:spacing w:after="0"/>
              <w:ind w:left="360"/>
              <w:rPr>
                <w:rFonts w:eastAsiaTheme="minorHAnsi" w:cs="Arial"/>
                <w:color w:val="auto"/>
                <w:lang w:eastAsia="en-US"/>
              </w:rPr>
            </w:pPr>
          </w:p>
          <w:p w:rsidR="004F1EF5" w:rsidRPr="004F1EF5" w:rsidRDefault="004F1EF5" w:rsidP="004F1EF5">
            <w:pPr>
              <w:pStyle w:val="ListParagraph"/>
              <w:numPr>
                <w:ilvl w:val="0"/>
                <w:numId w:val="0"/>
              </w:numPr>
              <w:autoSpaceDE w:val="0"/>
              <w:autoSpaceDN w:val="0"/>
              <w:adjustRightInd w:val="0"/>
              <w:spacing w:after="0"/>
              <w:ind w:left="360"/>
              <w:rPr>
                <w:rFonts w:eastAsiaTheme="minorHAnsi" w:cs="Arial"/>
                <w:color w:val="auto"/>
                <w:u w:val="single"/>
                <w:lang w:eastAsia="en-US"/>
              </w:rPr>
            </w:pPr>
            <w:r w:rsidRPr="004F1EF5">
              <w:rPr>
                <w:rFonts w:eastAsiaTheme="minorHAnsi" w:cs="Arial"/>
                <w:color w:val="auto"/>
                <w:u w:val="single"/>
                <w:lang w:eastAsia="en-US"/>
              </w:rPr>
              <w:t>Paragraph 9: Respect</w:t>
            </w:r>
          </w:p>
          <w:p w:rsidR="009A5946" w:rsidRDefault="009A5946" w:rsidP="009A5946">
            <w:pPr>
              <w:pStyle w:val="ListParagraph"/>
              <w:numPr>
                <w:ilvl w:val="0"/>
                <w:numId w:val="0"/>
              </w:numPr>
              <w:autoSpaceDE w:val="0"/>
              <w:autoSpaceDN w:val="0"/>
              <w:adjustRightInd w:val="0"/>
              <w:spacing w:after="0"/>
              <w:ind w:left="1080"/>
              <w:rPr>
                <w:rFonts w:eastAsiaTheme="minorHAnsi" w:cs="Arial"/>
                <w:color w:val="auto"/>
                <w:lang w:eastAsia="en-US"/>
              </w:rPr>
            </w:pPr>
          </w:p>
          <w:p w:rsidR="004B04AE" w:rsidRPr="004843D2" w:rsidRDefault="004B04AE" w:rsidP="004843D2">
            <w:pPr>
              <w:pStyle w:val="ListParagraph"/>
              <w:numPr>
                <w:ilvl w:val="0"/>
                <w:numId w:val="7"/>
              </w:numPr>
              <w:autoSpaceDE w:val="0"/>
              <w:autoSpaceDN w:val="0"/>
              <w:adjustRightInd w:val="0"/>
              <w:spacing w:after="0"/>
              <w:rPr>
                <w:rFonts w:eastAsiaTheme="minorHAnsi" w:cs="Arial"/>
                <w:color w:val="auto"/>
                <w:lang w:eastAsia="en-US"/>
              </w:rPr>
            </w:pPr>
            <w:r w:rsidRPr="004A62A1">
              <w:rPr>
                <w:rFonts w:eastAsiaTheme="minorHAnsi" w:cs="Arial"/>
                <w:color w:val="auto"/>
                <w:lang w:eastAsia="en-US"/>
              </w:rPr>
              <w:t>The Local Hearing Panel considered whether the Subject Councillor had breached the Members’ Code of Conduct paragraph 9</w:t>
            </w:r>
            <w:r w:rsidR="00A009D7" w:rsidRPr="004A62A1">
              <w:rPr>
                <w:rFonts w:eastAsiaTheme="minorHAnsi" w:cs="Arial"/>
                <w:color w:val="auto"/>
                <w:lang w:eastAsia="en-US"/>
              </w:rPr>
              <w:t xml:space="preserve">.  </w:t>
            </w:r>
            <w:r w:rsidRPr="004A62A1">
              <w:rPr>
                <w:rFonts w:eastAsiaTheme="minorHAnsi" w:cs="Arial"/>
                <w:color w:val="auto"/>
                <w:lang w:eastAsia="en-US"/>
              </w:rPr>
              <w:t xml:space="preserve">The Panel </w:t>
            </w:r>
            <w:r w:rsidR="002F2512">
              <w:rPr>
                <w:rFonts w:eastAsiaTheme="minorHAnsi" w:cs="Arial"/>
                <w:color w:val="auto"/>
                <w:lang w:eastAsia="en-US"/>
              </w:rPr>
              <w:t xml:space="preserve">noted the Subject Councillor’s response to the Monitoring Officer in the paperwork, and at the Local Hearing Panel, which stated that he did </w:t>
            </w:r>
            <w:r w:rsidR="004843D2">
              <w:rPr>
                <w:rFonts w:eastAsiaTheme="minorHAnsi" w:cs="Arial"/>
                <w:color w:val="auto"/>
                <w:lang w:eastAsia="en-US"/>
              </w:rPr>
              <w:t>‘</w:t>
            </w:r>
            <w:r w:rsidR="002F2512">
              <w:rPr>
                <w:rFonts w:eastAsiaTheme="minorHAnsi" w:cs="Arial"/>
                <w:color w:val="auto"/>
                <w:lang w:eastAsia="en-US"/>
              </w:rPr>
              <w:t xml:space="preserve">not </w:t>
            </w:r>
            <w:r w:rsidR="004843D2">
              <w:rPr>
                <w:rFonts w:eastAsiaTheme="minorHAnsi" w:cs="Arial"/>
                <w:color w:val="auto"/>
                <w:lang w:eastAsia="en-US"/>
              </w:rPr>
              <w:t xml:space="preserve">consider that he said anything bad during his telephone conversation with the Complainant and that he didn’t’ swear’.  </w:t>
            </w:r>
            <w:r w:rsidRPr="004843D2">
              <w:rPr>
                <w:rFonts w:eastAsiaTheme="minorHAnsi" w:cs="Arial"/>
                <w:color w:val="auto"/>
                <w:lang w:eastAsia="en-US"/>
              </w:rPr>
              <w:t xml:space="preserve">  The Local Hearing </w:t>
            </w:r>
            <w:r w:rsidR="008A3310" w:rsidRPr="004843D2">
              <w:rPr>
                <w:rFonts w:eastAsiaTheme="minorHAnsi" w:cs="Arial"/>
                <w:color w:val="auto"/>
                <w:lang w:eastAsia="en-US"/>
              </w:rPr>
              <w:t xml:space="preserve">Panel </w:t>
            </w:r>
            <w:r w:rsidRPr="004843D2">
              <w:rPr>
                <w:rFonts w:eastAsiaTheme="minorHAnsi" w:cs="Arial"/>
                <w:color w:val="auto"/>
                <w:lang w:eastAsia="en-US"/>
              </w:rPr>
              <w:t xml:space="preserve">reviewed this against the information provided within the Investigator’s Report that when considering respect for others, </w:t>
            </w:r>
            <w:r w:rsidR="008A3310" w:rsidRPr="004843D2">
              <w:rPr>
                <w:rFonts w:eastAsiaTheme="minorHAnsi" w:cs="Arial"/>
                <w:color w:val="auto"/>
                <w:lang w:eastAsia="en-US"/>
              </w:rPr>
              <w:t>‘as an elected representative of the public, it is important for a parish councillor to treat others with respect and to act</w:t>
            </w:r>
            <w:r w:rsidR="00741D7D">
              <w:rPr>
                <w:rFonts w:eastAsiaTheme="minorHAnsi" w:cs="Arial"/>
                <w:color w:val="auto"/>
                <w:lang w:eastAsia="en-US"/>
              </w:rPr>
              <w:t xml:space="preserve"> in a respectful way’, and that </w:t>
            </w:r>
            <w:r w:rsidR="00ED30D2">
              <w:rPr>
                <w:rFonts w:eastAsiaTheme="minorHAnsi" w:cs="Arial"/>
                <w:color w:val="auto"/>
                <w:lang w:eastAsia="en-US"/>
              </w:rPr>
              <w:t xml:space="preserve">it </w:t>
            </w:r>
            <w:r w:rsidR="00741D7D">
              <w:rPr>
                <w:rFonts w:eastAsiaTheme="minorHAnsi" w:cs="Arial"/>
                <w:color w:val="auto"/>
                <w:lang w:eastAsia="en-US"/>
              </w:rPr>
              <w:t>was</w:t>
            </w:r>
            <w:r w:rsidR="008A3310" w:rsidRPr="004843D2">
              <w:rPr>
                <w:rFonts w:eastAsiaTheme="minorHAnsi" w:cs="Arial"/>
                <w:color w:val="auto"/>
                <w:lang w:eastAsia="en-US"/>
              </w:rPr>
              <w:t xml:space="preserve"> not appropriate in the context of his position </w:t>
            </w:r>
            <w:r w:rsidR="004843D2">
              <w:rPr>
                <w:rFonts w:eastAsiaTheme="minorHAnsi" w:cs="Arial"/>
                <w:color w:val="auto"/>
                <w:lang w:eastAsia="en-US"/>
              </w:rPr>
              <w:t xml:space="preserve">as a Councillor.  The Local Hearing Panel further noted that the Littlemore Parish Council Code of Conduct states that a Councillor should ‘promote and support high standards of conduct when serving in your public post’ and felt that the Subject Councillor had </w:t>
            </w:r>
            <w:r w:rsidR="00ED30D2">
              <w:rPr>
                <w:rFonts w:eastAsiaTheme="minorHAnsi" w:cs="Arial"/>
                <w:color w:val="auto"/>
                <w:lang w:eastAsia="en-US"/>
              </w:rPr>
              <w:t>fallen short of</w:t>
            </w:r>
            <w:r w:rsidR="004843D2">
              <w:rPr>
                <w:rFonts w:eastAsiaTheme="minorHAnsi" w:cs="Arial"/>
                <w:color w:val="auto"/>
                <w:lang w:eastAsia="en-US"/>
              </w:rPr>
              <w:t xml:space="preserve"> this standard when acting on behalf of Littlemore Parish Council.</w:t>
            </w:r>
          </w:p>
          <w:p w:rsidR="009A5946" w:rsidRPr="004A62A1" w:rsidRDefault="009A5946" w:rsidP="009A5946">
            <w:pPr>
              <w:pStyle w:val="ListParagraph"/>
              <w:numPr>
                <w:ilvl w:val="0"/>
                <w:numId w:val="0"/>
              </w:numPr>
              <w:autoSpaceDE w:val="0"/>
              <w:autoSpaceDN w:val="0"/>
              <w:adjustRightInd w:val="0"/>
              <w:spacing w:after="0"/>
              <w:ind w:left="360"/>
              <w:rPr>
                <w:rFonts w:eastAsiaTheme="minorHAnsi" w:cs="Arial"/>
                <w:color w:val="auto"/>
                <w:lang w:eastAsia="en-US"/>
              </w:rPr>
            </w:pPr>
          </w:p>
          <w:p w:rsidR="003D3F62" w:rsidRDefault="008A3310" w:rsidP="00774DD5">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Local Hearing Panel considered the Subject Councillor’s view of his</w:t>
            </w:r>
            <w:r w:rsidR="008645EB">
              <w:rPr>
                <w:rFonts w:eastAsiaTheme="minorHAnsi" w:cs="Arial"/>
                <w:color w:val="auto"/>
                <w:lang w:eastAsia="en-US"/>
              </w:rPr>
              <w:t xml:space="preserve"> right to freedom of speech as reported in his response to the complaint, </w:t>
            </w:r>
            <w:r w:rsidR="00A71100">
              <w:rPr>
                <w:rFonts w:eastAsiaTheme="minorHAnsi" w:cs="Arial"/>
                <w:color w:val="auto"/>
                <w:lang w:eastAsia="en-US"/>
              </w:rPr>
              <w:t xml:space="preserve">and considered this against Article 10 of the European Convention on Human Rights (as incorporated in the Human Rights Act 1998) included within the paperwork provided to the Panel.  The Local Hearing Panel noted this information, </w:t>
            </w:r>
            <w:r w:rsidR="004A62A1">
              <w:rPr>
                <w:rFonts w:eastAsiaTheme="minorHAnsi" w:cs="Arial"/>
                <w:color w:val="auto"/>
                <w:lang w:eastAsia="en-US"/>
              </w:rPr>
              <w:t>but</w:t>
            </w:r>
            <w:r w:rsidR="00A71100">
              <w:rPr>
                <w:rFonts w:eastAsiaTheme="minorHAnsi" w:cs="Arial"/>
                <w:color w:val="auto"/>
                <w:lang w:eastAsia="en-US"/>
              </w:rPr>
              <w:t xml:space="preserve"> felt that </w:t>
            </w:r>
            <w:r w:rsidR="004A62A1">
              <w:rPr>
                <w:rFonts w:eastAsiaTheme="minorHAnsi" w:cs="Arial"/>
                <w:color w:val="auto"/>
                <w:lang w:eastAsia="en-US"/>
              </w:rPr>
              <w:t>it did</w:t>
            </w:r>
            <w:r w:rsidR="00A71100">
              <w:rPr>
                <w:rFonts w:eastAsiaTheme="minorHAnsi" w:cs="Arial"/>
                <w:color w:val="auto"/>
                <w:lang w:eastAsia="en-US"/>
              </w:rPr>
              <w:t xml:space="preserve"> not qualify as an absolute, and should be considered within the context of its delivery</w:t>
            </w:r>
            <w:r w:rsidR="004A62A1">
              <w:rPr>
                <w:rFonts w:eastAsiaTheme="minorHAnsi" w:cs="Arial"/>
                <w:color w:val="auto"/>
                <w:lang w:eastAsia="en-US"/>
              </w:rPr>
              <w:t xml:space="preserve">.  </w:t>
            </w:r>
          </w:p>
          <w:p w:rsidR="00ED30D2" w:rsidRPr="00ED30D2" w:rsidRDefault="00ED30D2" w:rsidP="00ED30D2">
            <w:pPr>
              <w:pStyle w:val="ListParagraph"/>
              <w:numPr>
                <w:ilvl w:val="0"/>
                <w:numId w:val="0"/>
              </w:numPr>
              <w:ind w:left="426"/>
              <w:rPr>
                <w:rFonts w:eastAsiaTheme="minorHAnsi" w:cs="Arial"/>
                <w:color w:val="auto"/>
                <w:lang w:eastAsia="en-US"/>
              </w:rPr>
            </w:pPr>
          </w:p>
          <w:p w:rsidR="00ED30D2" w:rsidRDefault="00ED30D2" w:rsidP="00774DD5">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 xml:space="preserve">In determining the assertion made by the Subject Councillor that this was a racially motivated complaint against the Subject Councillor, the Local Hearing Panel found no evidence to support the claim that the Complainant had sought out his profile on Facebook prior to making this complaint, and done so based on this.  </w:t>
            </w:r>
          </w:p>
          <w:p w:rsidR="003D3F62" w:rsidRPr="003D3F62" w:rsidRDefault="003D3F62" w:rsidP="003D3F62">
            <w:pPr>
              <w:pStyle w:val="ListParagraph"/>
              <w:numPr>
                <w:ilvl w:val="0"/>
                <w:numId w:val="0"/>
              </w:numPr>
              <w:ind w:left="426"/>
              <w:rPr>
                <w:rFonts w:eastAsiaTheme="minorHAnsi" w:cs="Arial"/>
                <w:color w:val="auto"/>
                <w:lang w:eastAsia="en-US"/>
              </w:rPr>
            </w:pPr>
          </w:p>
          <w:p w:rsidR="00774DD5" w:rsidRDefault="00774DD5" w:rsidP="00774DD5">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Therefore the Local Hearing Panel were in agreement that the Subject Councillor had breached the code of conduct in paragraph 9</w:t>
            </w:r>
            <w:r w:rsidR="004F1EF5">
              <w:rPr>
                <w:rFonts w:eastAsiaTheme="minorHAnsi" w:cs="Arial"/>
                <w:color w:val="auto"/>
                <w:lang w:eastAsia="en-US"/>
              </w:rPr>
              <w:t>.</w:t>
            </w:r>
          </w:p>
          <w:p w:rsidR="004F1EF5" w:rsidRDefault="004F1EF5" w:rsidP="004F1EF5">
            <w:pPr>
              <w:pStyle w:val="ListParagraph"/>
              <w:numPr>
                <w:ilvl w:val="0"/>
                <w:numId w:val="0"/>
              </w:numPr>
              <w:ind w:left="426"/>
              <w:rPr>
                <w:rFonts w:eastAsiaTheme="minorHAnsi" w:cs="Arial"/>
                <w:color w:val="auto"/>
                <w:lang w:eastAsia="en-US"/>
              </w:rPr>
            </w:pPr>
          </w:p>
          <w:p w:rsidR="004F1EF5" w:rsidRPr="004F1EF5" w:rsidRDefault="004F1EF5" w:rsidP="004F1EF5">
            <w:pPr>
              <w:pStyle w:val="ListParagraph"/>
              <w:numPr>
                <w:ilvl w:val="0"/>
                <w:numId w:val="0"/>
              </w:numPr>
              <w:ind w:left="426"/>
              <w:rPr>
                <w:rFonts w:eastAsiaTheme="minorHAnsi" w:cs="Arial"/>
                <w:color w:val="auto"/>
                <w:u w:val="single"/>
                <w:lang w:eastAsia="en-US"/>
              </w:rPr>
            </w:pPr>
            <w:r w:rsidRPr="004F1EF5">
              <w:rPr>
                <w:rFonts w:eastAsiaTheme="minorHAnsi" w:cs="Arial"/>
                <w:color w:val="auto"/>
                <w:u w:val="single"/>
                <w:lang w:eastAsia="en-US"/>
              </w:rPr>
              <w:t>Paragraph 10: Bullying</w:t>
            </w:r>
          </w:p>
          <w:p w:rsidR="00774DD5" w:rsidRDefault="00774DD5" w:rsidP="004F1EF5">
            <w:pPr>
              <w:pStyle w:val="ListParagraph"/>
              <w:numPr>
                <w:ilvl w:val="0"/>
                <w:numId w:val="0"/>
              </w:numPr>
              <w:autoSpaceDE w:val="0"/>
              <w:autoSpaceDN w:val="0"/>
              <w:adjustRightInd w:val="0"/>
              <w:spacing w:after="0"/>
              <w:ind w:left="360"/>
              <w:rPr>
                <w:rFonts w:eastAsiaTheme="minorHAnsi" w:cs="Arial"/>
                <w:color w:val="auto"/>
                <w:lang w:eastAsia="en-US"/>
              </w:rPr>
            </w:pPr>
          </w:p>
          <w:p w:rsidR="00101CB5" w:rsidRDefault="004F1EF5" w:rsidP="00655EC6">
            <w:pPr>
              <w:pStyle w:val="ListParagraph"/>
              <w:numPr>
                <w:ilvl w:val="0"/>
                <w:numId w:val="7"/>
              </w:numPr>
              <w:autoSpaceDE w:val="0"/>
              <w:autoSpaceDN w:val="0"/>
              <w:adjustRightInd w:val="0"/>
              <w:spacing w:after="0"/>
              <w:rPr>
                <w:rFonts w:eastAsiaTheme="minorHAnsi" w:cs="Arial"/>
                <w:color w:val="auto"/>
                <w:lang w:eastAsia="en-US"/>
              </w:rPr>
            </w:pPr>
            <w:r w:rsidRPr="00101CB5">
              <w:rPr>
                <w:rFonts w:eastAsiaTheme="minorHAnsi" w:cs="Arial"/>
                <w:color w:val="auto"/>
                <w:lang w:eastAsia="en-US"/>
              </w:rPr>
              <w:t>The Local Hearing Panel proceeded to consider the alleged breach of paragraph 10 of the Members’ Code of Conduct, in that ‘you must not bully another person’.  The Panel considered the Subject Councillor’s comments ma</w:t>
            </w:r>
            <w:r w:rsidR="00101CB5">
              <w:rPr>
                <w:rFonts w:eastAsiaTheme="minorHAnsi" w:cs="Arial"/>
                <w:color w:val="auto"/>
                <w:lang w:eastAsia="en-US"/>
              </w:rPr>
              <w:t xml:space="preserve">de both in the paperwork and during the </w:t>
            </w:r>
            <w:r w:rsidR="00741D7D" w:rsidRPr="00101CB5">
              <w:rPr>
                <w:rFonts w:eastAsiaTheme="minorHAnsi" w:cs="Arial"/>
                <w:color w:val="auto"/>
                <w:lang w:eastAsia="en-US"/>
              </w:rPr>
              <w:t>hearing</w:t>
            </w:r>
            <w:r w:rsidR="00741D7D">
              <w:rPr>
                <w:rFonts w:eastAsiaTheme="minorHAnsi" w:cs="Arial"/>
                <w:color w:val="auto"/>
                <w:lang w:eastAsia="en-US"/>
              </w:rPr>
              <w:t xml:space="preserve"> that</w:t>
            </w:r>
            <w:r w:rsidR="004843D2" w:rsidRPr="00101CB5">
              <w:rPr>
                <w:rFonts w:eastAsiaTheme="minorHAnsi" w:cs="Arial"/>
                <w:color w:val="auto"/>
                <w:lang w:eastAsia="en-US"/>
              </w:rPr>
              <w:t xml:space="preserve"> he had not bullied the Complainant, but had only pointed out his incompetence.  He asserted that he had not intended to publicise the email exchange on social media, however had intended to update the local residents of the current</w:t>
            </w:r>
            <w:r w:rsidR="00101CB5" w:rsidRPr="00101CB5">
              <w:rPr>
                <w:rFonts w:eastAsiaTheme="minorHAnsi" w:cs="Arial"/>
                <w:color w:val="auto"/>
                <w:lang w:eastAsia="en-US"/>
              </w:rPr>
              <w:t xml:space="preserve"> lack of progress made by the Council</w:t>
            </w:r>
            <w:r w:rsidR="004843D2" w:rsidRPr="00101CB5">
              <w:rPr>
                <w:rFonts w:eastAsiaTheme="minorHAnsi" w:cs="Arial"/>
                <w:color w:val="auto"/>
                <w:lang w:eastAsia="en-US"/>
              </w:rPr>
              <w:t>.</w:t>
            </w:r>
            <w:r w:rsidR="00101CB5" w:rsidRPr="00101CB5">
              <w:rPr>
                <w:rFonts w:eastAsiaTheme="minorHAnsi" w:cs="Arial"/>
                <w:color w:val="auto"/>
                <w:lang w:eastAsia="en-US"/>
              </w:rPr>
              <w:t xml:space="preserve">  </w:t>
            </w:r>
            <w:r w:rsidRPr="00101CB5">
              <w:rPr>
                <w:rFonts w:eastAsiaTheme="minorHAnsi" w:cs="Arial"/>
                <w:color w:val="auto"/>
                <w:lang w:eastAsia="en-US"/>
              </w:rPr>
              <w:t xml:space="preserve">The Panel considered the evidence provided in the paperwork against these comments, and </w:t>
            </w:r>
            <w:r w:rsidR="00101CB5">
              <w:rPr>
                <w:rFonts w:eastAsiaTheme="minorHAnsi" w:cs="Arial"/>
                <w:color w:val="auto"/>
                <w:lang w:eastAsia="en-US"/>
              </w:rPr>
              <w:t>attached weight to the definition of bullying defined in the Code of Conduct as ‘offensive, intimidating, malicious, insulting or humiliating behaviour which attempts to undermine, hurt or humiliate an individual or group’.  The Panel also noted that bulling by definition can constitute one incident or be part of a pattern of behaviour.  The Panel considered that whilst it might not have been the intention of the Subject Councillor to bully the Complainant, his resulting actions d</w:t>
            </w:r>
            <w:r w:rsidR="00741D7D">
              <w:rPr>
                <w:rFonts w:eastAsiaTheme="minorHAnsi" w:cs="Arial"/>
                <w:color w:val="auto"/>
                <w:lang w:eastAsia="en-US"/>
              </w:rPr>
              <w:t>id</w:t>
            </w:r>
            <w:r w:rsidR="00101CB5">
              <w:rPr>
                <w:rFonts w:eastAsiaTheme="minorHAnsi" w:cs="Arial"/>
                <w:color w:val="auto"/>
                <w:lang w:eastAsia="en-US"/>
              </w:rPr>
              <w:t xml:space="preserve"> constitute bullying </w:t>
            </w:r>
            <w:r w:rsidR="00741D7D">
              <w:rPr>
                <w:rFonts w:eastAsiaTheme="minorHAnsi" w:cs="Arial"/>
                <w:color w:val="auto"/>
                <w:lang w:eastAsia="en-US"/>
              </w:rPr>
              <w:t>and wa</w:t>
            </w:r>
            <w:r w:rsidR="00101CB5">
              <w:rPr>
                <w:rFonts w:eastAsiaTheme="minorHAnsi" w:cs="Arial"/>
                <w:color w:val="auto"/>
                <w:lang w:eastAsia="en-US"/>
              </w:rPr>
              <w:t>s unbecoming for a Councillor who should recognise and aim to promote the standards outlined in the Code of Conduct.</w:t>
            </w:r>
          </w:p>
          <w:p w:rsidR="001A027A" w:rsidRDefault="001A027A" w:rsidP="001A027A">
            <w:pPr>
              <w:pStyle w:val="ListParagraph"/>
              <w:numPr>
                <w:ilvl w:val="0"/>
                <w:numId w:val="0"/>
              </w:numPr>
              <w:autoSpaceDE w:val="0"/>
              <w:autoSpaceDN w:val="0"/>
              <w:adjustRightInd w:val="0"/>
              <w:spacing w:after="0"/>
              <w:ind w:left="360"/>
              <w:rPr>
                <w:rFonts w:eastAsiaTheme="minorHAnsi" w:cs="Arial"/>
                <w:color w:val="auto"/>
                <w:lang w:eastAsia="en-US"/>
              </w:rPr>
            </w:pPr>
          </w:p>
          <w:p w:rsidR="001A027A" w:rsidRDefault="001A027A" w:rsidP="00655EC6">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Furthermore, whilst the Local Hearing Panel understood and appreciated the work of the Subject Councillor in supporting his constituency in his role as a Councillor, felt that this ‘passion for results’ could be delivered in a more positive and respectful manner, and a better understanding of the Code of Conduct could provide the necessary development required when communicating in his position as a Councillor.</w:t>
            </w:r>
          </w:p>
          <w:p w:rsidR="004F1EF5" w:rsidRDefault="004F1EF5" w:rsidP="004F1EF5">
            <w:pPr>
              <w:pStyle w:val="ListParagraph"/>
              <w:numPr>
                <w:ilvl w:val="0"/>
                <w:numId w:val="0"/>
              </w:numPr>
              <w:autoSpaceDE w:val="0"/>
              <w:autoSpaceDN w:val="0"/>
              <w:adjustRightInd w:val="0"/>
              <w:spacing w:after="0"/>
              <w:ind w:left="360"/>
              <w:rPr>
                <w:rFonts w:eastAsiaTheme="minorHAnsi" w:cs="Arial"/>
                <w:color w:val="auto"/>
                <w:lang w:eastAsia="en-US"/>
              </w:rPr>
            </w:pPr>
          </w:p>
          <w:p w:rsidR="004F1EF5" w:rsidRDefault="004F1EF5" w:rsidP="004F1EF5">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 xml:space="preserve">Therefore the Local Hearing Panel were in agreement that the Subject Councillor had breached the code of conduct in paragraph 10. </w:t>
            </w:r>
          </w:p>
          <w:p w:rsidR="004F1EF5" w:rsidRDefault="004F1EF5" w:rsidP="004F1EF5">
            <w:pPr>
              <w:pStyle w:val="ListParagraph"/>
              <w:numPr>
                <w:ilvl w:val="0"/>
                <w:numId w:val="0"/>
              </w:numPr>
              <w:ind w:left="426"/>
              <w:rPr>
                <w:rFonts w:eastAsiaTheme="minorHAnsi" w:cs="Arial"/>
                <w:color w:val="auto"/>
                <w:lang w:eastAsia="en-US"/>
              </w:rPr>
            </w:pPr>
          </w:p>
          <w:p w:rsidR="004F1EF5" w:rsidRPr="004F1EF5" w:rsidRDefault="004F1EF5" w:rsidP="004F1EF5">
            <w:pPr>
              <w:pStyle w:val="ListParagraph"/>
              <w:numPr>
                <w:ilvl w:val="0"/>
                <w:numId w:val="0"/>
              </w:numPr>
              <w:ind w:left="426"/>
              <w:rPr>
                <w:rFonts w:eastAsiaTheme="minorHAnsi" w:cs="Arial"/>
                <w:color w:val="auto"/>
                <w:u w:val="single"/>
                <w:lang w:eastAsia="en-US"/>
              </w:rPr>
            </w:pPr>
            <w:r w:rsidRPr="004F1EF5">
              <w:rPr>
                <w:rFonts w:eastAsiaTheme="minorHAnsi" w:cs="Arial"/>
                <w:color w:val="auto"/>
                <w:u w:val="single"/>
                <w:lang w:eastAsia="en-US"/>
              </w:rPr>
              <w:t>Sanctions</w:t>
            </w:r>
          </w:p>
          <w:p w:rsidR="004F1EF5" w:rsidRPr="00A71100" w:rsidRDefault="004F1EF5" w:rsidP="003D3F62">
            <w:pPr>
              <w:pStyle w:val="ListParagraph"/>
              <w:numPr>
                <w:ilvl w:val="0"/>
                <w:numId w:val="0"/>
              </w:numPr>
              <w:autoSpaceDE w:val="0"/>
              <w:autoSpaceDN w:val="0"/>
              <w:adjustRightInd w:val="0"/>
              <w:spacing w:after="0"/>
              <w:ind w:left="360"/>
              <w:rPr>
                <w:rFonts w:eastAsiaTheme="minorHAnsi" w:cs="Arial"/>
                <w:color w:val="auto"/>
                <w:lang w:eastAsia="en-US"/>
              </w:rPr>
            </w:pPr>
          </w:p>
          <w:p w:rsidR="004F1EF5" w:rsidRDefault="004F1EF5"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 xml:space="preserve">The Local Hearing Panel invited the Investigating Officer to address them in terms of appropriate sanctions. The Subject </w:t>
            </w:r>
            <w:r w:rsidR="00101CB5">
              <w:rPr>
                <w:rFonts w:eastAsiaTheme="minorHAnsi" w:cs="Arial"/>
                <w:color w:val="auto"/>
                <w:lang w:eastAsia="en-US"/>
              </w:rPr>
              <w:t>Councillor</w:t>
            </w:r>
            <w:r>
              <w:rPr>
                <w:rFonts w:eastAsiaTheme="minorHAnsi" w:cs="Arial"/>
                <w:color w:val="auto"/>
                <w:lang w:eastAsia="en-US"/>
              </w:rPr>
              <w:t xml:space="preserve"> </w:t>
            </w:r>
            <w:r w:rsidR="00101CB5">
              <w:rPr>
                <w:rFonts w:eastAsiaTheme="minorHAnsi" w:cs="Arial"/>
                <w:color w:val="auto"/>
                <w:lang w:eastAsia="en-US"/>
              </w:rPr>
              <w:t>declined to offer any recourse to these sanctions or offer any of his own.</w:t>
            </w:r>
          </w:p>
          <w:p w:rsidR="004F1EF5" w:rsidRDefault="004F1EF5" w:rsidP="004F1EF5">
            <w:pPr>
              <w:pStyle w:val="ListParagraph"/>
              <w:numPr>
                <w:ilvl w:val="0"/>
                <w:numId w:val="0"/>
              </w:numPr>
              <w:autoSpaceDE w:val="0"/>
              <w:autoSpaceDN w:val="0"/>
              <w:adjustRightInd w:val="0"/>
              <w:spacing w:after="0"/>
              <w:ind w:left="360"/>
              <w:rPr>
                <w:rFonts w:eastAsiaTheme="minorHAnsi" w:cs="Arial"/>
                <w:color w:val="auto"/>
                <w:lang w:eastAsia="en-US"/>
              </w:rPr>
            </w:pPr>
          </w:p>
          <w:p w:rsidR="00D86804" w:rsidRDefault="004F1EF5"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Having determined that the Subject Councillor had breached the Littlemore Code of Conduct in respect of paragraph 9 and 10, and having taken account of the representations made by the Investigating Officer and the views of the Independent Person,</w:t>
            </w:r>
            <w:r w:rsidR="00D86804">
              <w:rPr>
                <w:rFonts w:eastAsiaTheme="minorHAnsi" w:cs="Arial"/>
                <w:color w:val="auto"/>
                <w:lang w:eastAsia="en-US"/>
              </w:rPr>
              <w:t xml:space="preserve"> the Local Hearing Panel voted in favour of advis</w:t>
            </w:r>
            <w:r>
              <w:rPr>
                <w:rFonts w:eastAsiaTheme="minorHAnsi" w:cs="Arial"/>
                <w:color w:val="auto"/>
                <w:lang w:eastAsia="en-US"/>
              </w:rPr>
              <w:t>ing the Parish Council to impose</w:t>
            </w:r>
            <w:r w:rsidR="00D86804">
              <w:rPr>
                <w:rFonts w:eastAsiaTheme="minorHAnsi" w:cs="Arial"/>
                <w:color w:val="auto"/>
                <w:lang w:eastAsia="en-US"/>
              </w:rPr>
              <w:t xml:space="preserve"> the following sanctions:</w:t>
            </w:r>
          </w:p>
          <w:p w:rsidR="004F1EF5" w:rsidRPr="004F1EF5" w:rsidRDefault="004F1EF5" w:rsidP="004F1EF5">
            <w:pPr>
              <w:pStyle w:val="ListParagraph"/>
              <w:numPr>
                <w:ilvl w:val="0"/>
                <w:numId w:val="0"/>
              </w:numPr>
              <w:ind w:left="426"/>
              <w:rPr>
                <w:rFonts w:eastAsiaTheme="minorHAnsi" w:cs="Arial"/>
                <w:color w:val="auto"/>
                <w:lang w:eastAsia="en-US"/>
              </w:rPr>
            </w:pPr>
          </w:p>
          <w:p w:rsidR="00D86804" w:rsidRDefault="00D86804" w:rsidP="004A62A1">
            <w:pPr>
              <w:pStyle w:val="Numberedlist"/>
            </w:pPr>
            <w:r>
              <w:t>The Subject Council</w:t>
            </w:r>
            <w:r w:rsidR="004F1EF5">
              <w:t>lor</w:t>
            </w:r>
            <w:r>
              <w:t xml:space="preserve"> </w:t>
            </w:r>
            <w:r w:rsidR="004F1EF5">
              <w:t xml:space="preserve">provides a formal written </w:t>
            </w:r>
            <w:r>
              <w:t>apolog</w:t>
            </w:r>
            <w:r w:rsidR="004F1EF5">
              <w:t>y</w:t>
            </w:r>
            <w:r>
              <w:t xml:space="preserve"> to </w:t>
            </w:r>
            <w:r w:rsidR="00101CB5">
              <w:t>the Complainant within 14 days, to be sent via the Monitoring Officer.</w:t>
            </w:r>
          </w:p>
          <w:p w:rsidR="00D86804" w:rsidRDefault="00A346F0" w:rsidP="004A62A1">
            <w:pPr>
              <w:pStyle w:val="Numberedlist"/>
            </w:pPr>
            <w:r>
              <w:t>The Subject Councillor provides a formal</w:t>
            </w:r>
            <w:r w:rsidR="00D86804">
              <w:t xml:space="preserve"> apology </w:t>
            </w:r>
            <w:r>
              <w:t xml:space="preserve">to Littlemore Parish Council </w:t>
            </w:r>
            <w:r w:rsidR="00D86804">
              <w:t>for breaching the code of Conduct</w:t>
            </w:r>
            <w:r w:rsidR="00101CB5">
              <w:t xml:space="preserve"> within 14 days.</w:t>
            </w:r>
          </w:p>
          <w:p w:rsidR="00D86804" w:rsidRDefault="00A346F0" w:rsidP="004A62A1">
            <w:pPr>
              <w:pStyle w:val="Numberedlist"/>
            </w:pPr>
            <w:r>
              <w:t>The Subject Councillor a</w:t>
            </w:r>
            <w:r w:rsidR="00D86804">
              <w:t>ttend</w:t>
            </w:r>
            <w:r>
              <w:t>s</w:t>
            </w:r>
            <w:r w:rsidR="00D86804">
              <w:t xml:space="preserve"> Code of Conduct training, either via the Parish Clerk or Monitoring Officer</w:t>
            </w:r>
            <w:r>
              <w:t>,</w:t>
            </w:r>
            <w:r w:rsidR="00D86804">
              <w:t xml:space="preserve"> within 3 months of </w:t>
            </w:r>
            <w:r>
              <w:t>the date of this</w:t>
            </w:r>
            <w:r w:rsidR="00D86804">
              <w:t xml:space="preserve"> decision notice.</w:t>
            </w:r>
          </w:p>
          <w:p w:rsidR="003E3C77" w:rsidRDefault="004E668B" w:rsidP="004E668B">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decision notice has been sent to the Subject Councillor, the Complainant, the Independent Persons and Littlemore Parish Council, and will be published on the council’s website.</w:t>
            </w:r>
          </w:p>
          <w:p w:rsidR="003D3F62" w:rsidRDefault="003D3F62" w:rsidP="003D3F62">
            <w:pPr>
              <w:pStyle w:val="ListParagraph"/>
              <w:numPr>
                <w:ilvl w:val="0"/>
                <w:numId w:val="0"/>
              </w:numPr>
              <w:autoSpaceDE w:val="0"/>
              <w:autoSpaceDN w:val="0"/>
              <w:adjustRightInd w:val="0"/>
              <w:spacing w:after="0"/>
              <w:ind w:left="360"/>
              <w:rPr>
                <w:rFonts w:eastAsiaTheme="minorHAnsi" w:cs="Arial"/>
                <w:color w:val="auto"/>
                <w:lang w:eastAsia="en-US"/>
              </w:rPr>
            </w:pPr>
          </w:p>
          <w:p w:rsidR="004E668B" w:rsidRPr="004E668B" w:rsidRDefault="004E668B" w:rsidP="004E668B">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Under Paragraph 10, of the ‘Procedure for dealing with code of conduct complaints against councillors’ of Oxford City Council’s Constitution, there is no right of appeal for the Complainant or for the Subject Councillor against a decision of the Monitoring Officer or of the Standards Committee.  However, the Monitoring Officer reports these decisions to the Council’s Standards Committee so there is oversight of how these matters are dealt with.</w:t>
            </w:r>
          </w:p>
        </w:tc>
      </w:tr>
    </w:tbl>
    <w:p w:rsidR="00A00118" w:rsidRPr="00F42C72" w:rsidRDefault="00A00118" w:rsidP="00A346F0">
      <w:pPr>
        <w:tabs>
          <w:tab w:val="left" w:pos="567"/>
        </w:tabs>
        <w:spacing w:after="0"/>
        <w:rPr>
          <w:color w:val="auto"/>
        </w:rPr>
      </w:pPr>
    </w:p>
    <w:tbl>
      <w:tblPr>
        <w:tblW w:w="0" w:type="auto"/>
        <w:tblInd w:w="108" w:type="dxa"/>
        <w:tblLook w:val="04A0" w:firstRow="1" w:lastRow="0" w:firstColumn="1" w:lastColumn="0" w:noHBand="0" w:noVBand="1"/>
      </w:tblPr>
      <w:tblGrid>
        <w:gridCol w:w="2127"/>
        <w:gridCol w:w="6804"/>
      </w:tblGrid>
      <w:tr w:rsidR="00F42C72" w:rsidRPr="00F42C72" w:rsidTr="00D033D7">
        <w:trPr>
          <w:cantSplit/>
          <w:trHeight w:val="396"/>
        </w:trPr>
        <w:tc>
          <w:tcPr>
            <w:tcW w:w="2127" w:type="dxa"/>
            <w:shd w:val="clear" w:color="auto" w:fill="auto"/>
          </w:tcPr>
          <w:p w:rsidR="00E87F7A" w:rsidRPr="00F42C72" w:rsidRDefault="007F1C13" w:rsidP="007F1C13">
            <w:pPr>
              <w:spacing w:before="120"/>
              <w:rPr>
                <w:b/>
                <w:color w:val="auto"/>
              </w:rPr>
            </w:pPr>
            <w:r w:rsidRPr="00F42C72">
              <w:rPr>
                <w:b/>
                <w:color w:val="auto"/>
              </w:rPr>
              <w:t>Signed</w:t>
            </w:r>
          </w:p>
        </w:tc>
        <w:tc>
          <w:tcPr>
            <w:tcW w:w="6804" w:type="dxa"/>
            <w:shd w:val="clear" w:color="auto" w:fill="auto"/>
          </w:tcPr>
          <w:p w:rsidR="004A342B" w:rsidRPr="00F42C72" w:rsidRDefault="00496C2F" w:rsidP="007F1C13">
            <w:pPr>
              <w:spacing w:before="120"/>
              <w:rPr>
                <w:color w:val="auto"/>
              </w:rPr>
            </w:pPr>
            <w:r>
              <w:rPr>
                <w:noProof/>
                <w:color w:val="auto"/>
              </w:rPr>
              <w:drawing>
                <wp:inline distT="0" distB="0" distL="0" distR="0">
                  <wp:extent cx="1014226" cy="323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031497" cy="328719"/>
                          </a:xfrm>
                          <a:prstGeom prst="rect">
                            <a:avLst/>
                          </a:prstGeom>
                        </pic:spPr>
                      </pic:pic>
                    </a:graphicData>
                  </a:graphic>
                </wp:inline>
              </w:drawing>
            </w:r>
            <w:bookmarkStart w:id="1" w:name="LastEdit"/>
            <w:bookmarkEnd w:id="1"/>
          </w:p>
        </w:tc>
      </w:tr>
      <w:tr w:rsidR="00F42C72" w:rsidRPr="00F42C72" w:rsidTr="00D033D7">
        <w:trPr>
          <w:cantSplit/>
          <w:trHeight w:val="396"/>
        </w:trPr>
        <w:tc>
          <w:tcPr>
            <w:tcW w:w="2127" w:type="dxa"/>
            <w:shd w:val="clear" w:color="auto" w:fill="auto"/>
          </w:tcPr>
          <w:p w:rsidR="00E87F7A" w:rsidRPr="00F42C72" w:rsidRDefault="007F1C13" w:rsidP="007F1C13">
            <w:pPr>
              <w:spacing w:before="120"/>
              <w:rPr>
                <w:b/>
                <w:color w:val="auto"/>
              </w:rPr>
            </w:pPr>
            <w:r w:rsidRPr="00F42C72">
              <w:rPr>
                <w:b/>
                <w:color w:val="auto"/>
              </w:rPr>
              <w:t>Name</w:t>
            </w:r>
          </w:p>
        </w:tc>
        <w:tc>
          <w:tcPr>
            <w:tcW w:w="6804" w:type="dxa"/>
            <w:shd w:val="clear" w:color="auto" w:fill="auto"/>
          </w:tcPr>
          <w:p w:rsidR="00E87F7A" w:rsidRPr="00F42C72" w:rsidRDefault="008916AD" w:rsidP="007F1C13">
            <w:pPr>
              <w:spacing w:before="120"/>
              <w:rPr>
                <w:color w:val="auto"/>
              </w:rPr>
            </w:pPr>
            <w:r w:rsidRPr="00F42C72">
              <w:rPr>
                <w:color w:val="auto"/>
              </w:rPr>
              <w:t>Susan Sale</w:t>
            </w:r>
            <w:r w:rsidR="007F1C13" w:rsidRPr="00F42C72">
              <w:rPr>
                <w:color w:val="auto"/>
              </w:rPr>
              <w:t>, Monitoring Officer, Oxford City Council</w:t>
            </w:r>
          </w:p>
        </w:tc>
      </w:tr>
      <w:tr w:rsidR="00F42C72" w:rsidRPr="00F42C72" w:rsidTr="00D033D7">
        <w:trPr>
          <w:cantSplit/>
          <w:trHeight w:val="396"/>
        </w:trPr>
        <w:tc>
          <w:tcPr>
            <w:tcW w:w="2127" w:type="dxa"/>
            <w:shd w:val="clear" w:color="auto" w:fill="auto"/>
          </w:tcPr>
          <w:p w:rsidR="00E87F7A" w:rsidRPr="00F42C72" w:rsidRDefault="007F1C13" w:rsidP="007F1C13">
            <w:pPr>
              <w:spacing w:before="120"/>
              <w:rPr>
                <w:b/>
                <w:color w:val="auto"/>
              </w:rPr>
            </w:pPr>
            <w:r w:rsidRPr="00F42C72">
              <w:rPr>
                <w:b/>
                <w:color w:val="auto"/>
              </w:rPr>
              <w:t>Date</w:t>
            </w:r>
          </w:p>
        </w:tc>
        <w:tc>
          <w:tcPr>
            <w:tcW w:w="6804" w:type="dxa"/>
            <w:shd w:val="clear" w:color="auto" w:fill="auto"/>
          </w:tcPr>
          <w:p w:rsidR="00735AAA" w:rsidRPr="00F42C72" w:rsidRDefault="002F359B" w:rsidP="00B53AC2">
            <w:pPr>
              <w:spacing w:before="120"/>
              <w:rPr>
                <w:color w:val="auto"/>
              </w:rPr>
            </w:pPr>
            <w:r>
              <w:rPr>
                <w:color w:val="auto"/>
              </w:rPr>
              <w:t>23 February</w:t>
            </w:r>
            <w:r w:rsidR="00101CB5">
              <w:rPr>
                <w:color w:val="auto"/>
              </w:rPr>
              <w:t xml:space="preserve"> 2023</w:t>
            </w:r>
          </w:p>
        </w:tc>
      </w:tr>
      <w:tr w:rsidR="00F42C72" w:rsidRPr="00F42C72" w:rsidTr="00D033D7">
        <w:trPr>
          <w:cantSplit/>
          <w:trHeight w:val="396"/>
        </w:trPr>
        <w:tc>
          <w:tcPr>
            <w:tcW w:w="2127" w:type="dxa"/>
            <w:shd w:val="clear" w:color="auto" w:fill="auto"/>
          </w:tcPr>
          <w:p w:rsidR="00735AAA" w:rsidRPr="00F42C72" w:rsidRDefault="00735AAA" w:rsidP="007F1C13">
            <w:pPr>
              <w:spacing w:before="120"/>
              <w:rPr>
                <w:b/>
                <w:color w:val="auto"/>
              </w:rPr>
            </w:pPr>
            <w:r w:rsidRPr="00F42C72">
              <w:rPr>
                <w:b/>
                <w:color w:val="auto"/>
              </w:rPr>
              <w:t>Publication</w:t>
            </w:r>
          </w:p>
        </w:tc>
        <w:tc>
          <w:tcPr>
            <w:tcW w:w="6804" w:type="dxa"/>
            <w:shd w:val="clear" w:color="auto" w:fill="auto"/>
          </w:tcPr>
          <w:p w:rsidR="00735AAA" w:rsidRDefault="00F42C72" w:rsidP="00735AAA">
            <w:pPr>
              <w:spacing w:before="120"/>
              <w:rPr>
                <w:color w:val="auto"/>
              </w:rPr>
            </w:pPr>
            <w:r w:rsidRPr="00F42C72">
              <w:rPr>
                <w:color w:val="auto"/>
              </w:rPr>
              <w:t>Internal:</w:t>
            </w:r>
            <w:r w:rsidR="00735AAA" w:rsidRPr="00F42C72">
              <w:rPr>
                <w:color w:val="auto"/>
              </w:rPr>
              <w:t xml:space="preserve"> to Parish Council</w:t>
            </w:r>
            <w:r w:rsidR="004A62A1">
              <w:rPr>
                <w:color w:val="auto"/>
              </w:rPr>
              <w:t>/Complainant/Subject Councillor</w:t>
            </w:r>
          </w:p>
          <w:p w:rsidR="00735AAA" w:rsidRPr="00F42C72" w:rsidRDefault="008B7E47" w:rsidP="001A027A">
            <w:pPr>
              <w:spacing w:before="120"/>
              <w:rPr>
                <w:color w:val="auto"/>
              </w:rPr>
            </w:pPr>
            <w:r>
              <w:rPr>
                <w:color w:val="auto"/>
              </w:rPr>
              <w:t>External: Oxford City Council website</w:t>
            </w:r>
          </w:p>
        </w:tc>
      </w:tr>
    </w:tbl>
    <w:p w:rsidR="00072441" w:rsidRPr="009E51FC" w:rsidRDefault="00072441" w:rsidP="000035F9"/>
    <w:sectPr w:rsidR="00072441" w:rsidRPr="009E51FC" w:rsidSect="00653824">
      <w:footerReference w:type="even" r:id="rId9"/>
      <w:headerReference w:type="first" r:id="rId10"/>
      <w:footerReference w:type="first" r:id="rId11"/>
      <w:pgSz w:w="11906" w:h="16838" w:code="9"/>
      <w:pgMar w:top="1418" w:right="1304" w:bottom="1560"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F8" w:rsidRDefault="00DD14F8" w:rsidP="004A6D2F">
      <w:r>
        <w:separator/>
      </w:r>
    </w:p>
  </w:endnote>
  <w:endnote w:type="continuationSeparator" w:id="0">
    <w:p w:rsidR="00DD14F8" w:rsidRDefault="00DD14F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8" w:rsidRDefault="00DD14F8" w:rsidP="004A6D2F">
    <w:pPr>
      <w:pStyle w:val="Footer"/>
    </w:pPr>
    <w:r>
      <w:t>Do not use a footer or page numbers.</w:t>
    </w:r>
  </w:p>
  <w:p w:rsidR="00DD14F8" w:rsidRDefault="00DD14F8" w:rsidP="004A6D2F">
    <w:pPr>
      <w:pStyle w:val="Footer"/>
    </w:pPr>
  </w:p>
  <w:p w:rsidR="00DD14F8" w:rsidRDefault="00DD14F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8" w:rsidRDefault="00DD14F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F8" w:rsidRDefault="00DD14F8" w:rsidP="004A6D2F">
      <w:r>
        <w:separator/>
      </w:r>
    </w:p>
  </w:footnote>
  <w:footnote w:type="continuationSeparator" w:id="0">
    <w:p w:rsidR="00DD14F8" w:rsidRDefault="00DD14F8" w:rsidP="004A6D2F">
      <w:r>
        <w:continuationSeparator/>
      </w:r>
    </w:p>
  </w:footnote>
  <w:footnote w:id="1">
    <w:p w:rsidR="00DD14F8" w:rsidRDefault="00DD14F8">
      <w:pPr>
        <w:pStyle w:val="FootnoteText"/>
      </w:pPr>
      <w:r>
        <w:rPr>
          <w:rStyle w:val="FootnoteReference"/>
        </w:rPr>
        <w:footnoteRef/>
      </w:r>
      <w:r>
        <w:t xml:space="preserve"> Deadline extended due to diary and leave commitments </w:t>
      </w:r>
      <w:r w:rsidR="002665D3">
        <w:t>of all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8" w:rsidRDefault="00DD14F8" w:rsidP="00D5547E">
    <w:pPr>
      <w:pStyle w:val="Header"/>
      <w:jc w:val="right"/>
    </w:pPr>
    <w:r>
      <w:rPr>
        <w:noProof/>
      </w:rPr>
      <mc:AlternateContent>
        <mc:Choice Requires="wps">
          <w:drawing>
            <wp:anchor distT="0" distB="0" distL="114300" distR="114300" simplePos="0" relativeHeight="251659264" behindDoc="0" locked="0" layoutInCell="1" allowOverlap="1" wp14:anchorId="07910F26" wp14:editId="62FED163">
              <wp:simplePos x="0" y="0"/>
              <wp:positionH relativeFrom="column">
                <wp:posOffset>-129540</wp:posOffset>
              </wp:positionH>
              <wp:positionV relativeFrom="paragraph">
                <wp:posOffset>285750</wp:posOffset>
              </wp:positionV>
              <wp:extent cx="1828800" cy="18288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D14F8" w:rsidRDefault="00DD14F8" w:rsidP="00A0519D">
                          <w:pPr>
                            <w:pStyle w:val="Header"/>
                            <w:jc w:val="center"/>
                            <w:rPr>
                              <w:b/>
                              <w:sz w:val="32"/>
                              <w:szCs w:val="32"/>
                            </w:rPr>
                          </w:pPr>
                          <w:r w:rsidRPr="00A0519D">
                            <w:rPr>
                              <w:b/>
                              <w:sz w:val="32"/>
                              <w:szCs w:val="32"/>
                            </w:rPr>
                            <w:t>Consideration of a Code of Conduct Complaint</w:t>
                          </w:r>
                        </w:p>
                        <w:p w:rsidR="00DD14F8" w:rsidRPr="00253AC8" w:rsidRDefault="00DD14F8" w:rsidP="00DD14F8">
                          <w:pPr>
                            <w:pStyle w:val="Header"/>
                            <w:jc w:val="center"/>
                            <w:rPr>
                              <w:b/>
                              <w:sz w:val="32"/>
                              <w:szCs w:val="32"/>
                            </w:rPr>
                          </w:pPr>
                          <w:r w:rsidRPr="00A0519D">
                            <w:rPr>
                              <w:b/>
                              <w:sz w:val="32"/>
                              <w:szCs w:val="32"/>
                            </w:rPr>
                            <w:t>Decision Notice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910F26" id="_x0000_t202" coordsize="21600,21600" o:spt="202" path="m,l,21600r21600,l21600,xe">
              <v:stroke joinstyle="miter"/>
              <v:path gradientshapeok="t" o:connecttype="rect"/>
            </v:shapetype>
            <v:shape id="Text Box 1" o:spid="_x0000_s1026" type="#_x0000_t202" style="position:absolute;left:0;text-align:left;margin-left:-10.2pt;margin-top: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" filled="f" stroked="f" strokeweight=".5pt">
              <v:textbox style="mso-fit-shape-to-text:t">
                <w:txbxContent>
                  <w:p w:rsidR="00DD14F8" w:rsidRDefault="00DD14F8" w:rsidP="00A0519D">
                    <w:pPr>
                      <w:pStyle w:val="Header"/>
                      <w:jc w:val="center"/>
                      <w:rPr>
                        <w:b/>
                        <w:sz w:val="32"/>
                        <w:szCs w:val="32"/>
                      </w:rPr>
                    </w:pPr>
                    <w:r w:rsidRPr="00A0519D">
                      <w:rPr>
                        <w:b/>
                        <w:sz w:val="32"/>
                        <w:szCs w:val="32"/>
                      </w:rPr>
                      <w:t>Consideration of a Code of Conduct Complaint</w:t>
                    </w:r>
                  </w:p>
                  <w:p w:rsidR="00DD14F8" w:rsidRPr="00253AC8" w:rsidRDefault="00DD14F8" w:rsidP="00DD14F8">
                    <w:pPr>
                      <w:pStyle w:val="Header"/>
                      <w:jc w:val="center"/>
                      <w:rPr>
                        <w:b/>
                        <w:sz w:val="32"/>
                        <w:szCs w:val="32"/>
                      </w:rPr>
                    </w:pPr>
                    <w:r w:rsidRPr="00A0519D">
                      <w:rPr>
                        <w:b/>
                        <w:sz w:val="32"/>
                        <w:szCs w:val="32"/>
                      </w:rPr>
                      <w:t>Decision Notice</w:t>
                    </w:r>
                  </w:p>
                </w:txbxContent>
              </v:textbox>
              <w10:wrap type="square"/>
            </v:shape>
          </w:pict>
        </mc:Fallback>
      </mc:AlternateContent>
    </w:r>
    <w:r>
      <w:rPr>
        <w:noProof/>
      </w:rPr>
      <w:drawing>
        <wp:inline distT="0" distB="0" distL="0" distR="0" wp14:anchorId="64B39FB9" wp14:editId="5A037776">
          <wp:extent cx="841375" cy="1116965"/>
          <wp:effectExtent l="0" t="0" r="0" b="6985"/>
          <wp:docPr id="5"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rsidR="00DD14F8" w:rsidRPr="00A0519D" w:rsidRDefault="00DD14F8" w:rsidP="00A0519D">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125DC0"/>
    <w:multiLevelType w:val="hybridMultilevel"/>
    <w:tmpl w:val="CA0EE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933A46"/>
    <w:multiLevelType w:val="hybridMultilevel"/>
    <w:tmpl w:val="4F4C96F8"/>
    <w:lvl w:ilvl="0" w:tplc="3694383E">
      <w:start w:val="1"/>
      <w:numFmt w:val="decimal"/>
      <w:lvlText w:val="%1."/>
      <w:lvlJc w:val="left"/>
      <w:pPr>
        <w:ind w:left="360" w:hanging="360"/>
      </w:pPr>
      <w:rPr>
        <w:i w:val="0"/>
      </w:rPr>
    </w:lvl>
    <w:lvl w:ilvl="1" w:tplc="3694383E">
      <w:start w:val="1"/>
      <w:numFmt w:val="decimal"/>
      <w:lvlText w:val="%2."/>
      <w:lvlJc w:val="left"/>
      <w:pPr>
        <w:ind w:left="1080" w:hanging="360"/>
      </w:pPr>
      <w:rPr>
        <w:rFonts w:hint="default"/>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86731C"/>
    <w:multiLevelType w:val="hybridMultilevel"/>
    <w:tmpl w:val="272E9180"/>
    <w:lvl w:ilvl="0" w:tplc="08090019">
      <w:start w:val="1"/>
      <w:numFmt w:val="lowerLetter"/>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6" w15:restartNumberingAfterBreak="0">
    <w:nsid w:val="49F33E95"/>
    <w:multiLevelType w:val="hybridMultilevel"/>
    <w:tmpl w:val="984C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842AA"/>
    <w:multiLevelType w:val="hybridMultilevel"/>
    <w:tmpl w:val="8C2E31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E26E0F"/>
    <w:multiLevelType w:val="hybridMultilevel"/>
    <w:tmpl w:val="357A154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295EF2"/>
    <w:multiLevelType w:val="hybridMultilevel"/>
    <w:tmpl w:val="357A1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6141B8"/>
    <w:multiLevelType w:val="hybridMultilevel"/>
    <w:tmpl w:val="A25ACC9E"/>
    <w:lvl w:ilvl="0" w:tplc="F5DCA300">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365C6"/>
    <w:multiLevelType w:val="multilevel"/>
    <w:tmpl w:val="E67CE66C"/>
    <w:numStyleLink w:val="StyleNumberedLeft0cmHanging075cm"/>
  </w:abstractNum>
  <w:abstractNum w:abstractNumId="13" w15:restartNumberingAfterBreak="0">
    <w:nsid w:val="7E8F0529"/>
    <w:multiLevelType w:val="hybridMultilevel"/>
    <w:tmpl w:val="42FC1F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A26E5C"/>
    <w:multiLevelType w:val="hybridMultilevel"/>
    <w:tmpl w:val="FD402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D91DA7"/>
    <w:multiLevelType w:val="hybridMultilevel"/>
    <w:tmpl w:val="8F507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
  </w:num>
  <w:num w:numId="4">
    <w:abstractNumId w:val="1"/>
  </w:num>
  <w:num w:numId="5">
    <w:abstractNumId w:val="10"/>
  </w:num>
  <w:num w:numId="6">
    <w:abstractNumId w:val="5"/>
  </w:num>
  <w:num w:numId="7">
    <w:abstractNumId w:val="4"/>
  </w:num>
  <w:num w:numId="8">
    <w:abstractNumId w:val="7"/>
  </w:num>
  <w:num w:numId="9">
    <w:abstractNumId w:val="15"/>
  </w:num>
  <w:num w:numId="10">
    <w:abstractNumId w:val="3"/>
  </w:num>
  <w:num w:numId="11">
    <w:abstractNumId w:val="14"/>
  </w:num>
  <w:num w:numId="12">
    <w:abstractNumId w:val="9"/>
  </w:num>
  <w:num w:numId="13">
    <w:abstractNumId w:val="8"/>
  </w:num>
  <w:num w:numId="14">
    <w:abstractNumId w:val="13"/>
  </w:num>
  <w:num w:numId="15">
    <w:abstractNumId w:val="11"/>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3/02/2023 14:30"/>
  </w:docVars>
  <w:rsids>
    <w:rsidRoot w:val="00663551"/>
    <w:rsid w:val="000035F9"/>
    <w:rsid w:val="000117D4"/>
    <w:rsid w:val="000314D7"/>
    <w:rsid w:val="00045F8B"/>
    <w:rsid w:val="00046D2B"/>
    <w:rsid w:val="00056263"/>
    <w:rsid w:val="00064D8A"/>
    <w:rsid w:val="00064F82"/>
    <w:rsid w:val="00066510"/>
    <w:rsid w:val="00070364"/>
    <w:rsid w:val="00072441"/>
    <w:rsid w:val="00077523"/>
    <w:rsid w:val="000C089F"/>
    <w:rsid w:val="000C3928"/>
    <w:rsid w:val="000C4649"/>
    <w:rsid w:val="000C5E8E"/>
    <w:rsid w:val="000F4751"/>
    <w:rsid w:val="00101902"/>
    <w:rsid w:val="00101CB5"/>
    <w:rsid w:val="0010524C"/>
    <w:rsid w:val="00111FB1"/>
    <w:rsid w:val="00113418"/>
    <w:rsid w:val="00124B0F"/>
    <w:rsid w:val="001356F1"/>
    <w:rsid w:val="00136994"/>
    <w:rsid w:val="0014128E"/>
    <w:rsid w:val="00151888"/>
    <w:rsid w:val="00170A2D"/>
    <w:rsid w:val="001808BC"/>
    <w:rsid w:val="00180D9C"/>
    <w:rsid w:val="00182385"/>
    <w:rsid w:val="00182B81"/>
    <w:rsid w:val="0018619D"/>
    <w:rsid w:val="00192AE9"/>
    <w:rsid w:val="001A011E"/>
    <w:rsid w:val="001A027A"/>
    <w:rsid w:val="001A066A"/>
    <w:rsid w:val="001A13E6"/>
    <w:rsid w:val="001A5731"/>
    <w:rsid w:val="001B42C3"/>
    <w:rsid w:val="001C5D5E"/>
    <w:rsid w:val="001D678D"/>
    <w:rsid w:val="001E03F8"/>
    <w:rsid w:val="001E1678"/>
    <w:rsid w:val="001E3376"/>
    <w:rsid w:val="002069B3"/>
    <w:rsid w:val="002329CF"/>
    <w:rsid w:val="00232F5B"/>
    <w:rsid w:val="00247C29"/>
    <w:rsid w:val="002554BF"/>
    <w:rsid w:val="00260467"/>
    <w:rsid w:val="00263EA3"/>
    <w:rsid w:val="002665D3"/>
    <w:rsid w:val="00270F4B"/>
    <w:rsid w:val="00284F85"/>
    <w:rsid w:val="00290915"/>
    <w:rsid w:val="00297EDD"/>
    <w:rsid w:val="002A1C98"/>
    <w:rsid w:val="002A22E2"/>
    <w:rsid w:val="002A3A80"/>
    <w:rsid w:val="002C64F7"/>
    <w:rsid w:val="002E02B8"/>
    <w:rsid w:val="002F2512"/>
    <w:rsid w:val="002F359B"/>
    <w:rsid w:val="002F41F2"/>
    <w:rsid w:val="00301BF3"/>
    <w:rsid w:val="0030208D"/>
    <w:rsid w:val="00323418"/>
    <w:rsid w:val="003248D5"/>
    <w:rsid w:val="003357BF"/>
    <w:rsid w:val="00361A2E"/>
    <w:rsid w:val="00364FAD"/>
    <w:rsid w:val="0036738F"/>
    <w:rsid w:val="0036759C"/>
    <w:rsid w:val="00367AE5"/>
    <w:rsid w:val="00367D71"/>
    <w:rsid w:val="0038150A"/>
    <w:rsid w:val="003B6E75"/>
    <w:rsid w:val="003B7DA1"/>
    <w:rsid w:val="003D0379"/>
    <w:rsid w:val="003D2574"/>
    <w:rsid w:val="003D3F62"/>
    <w:rsid w:val="003D4C59"/>
    <w:rsid w:val="003D4EAE"/>
    <w:rsid w:val="003E27FE"/>
    <w:rsid w:val="003E3C77"/>
    <w:rsid w:val="003F4267"/>
    <w:rsid w:val="00404032"/>
    <w:rsid w:val="0040736F"/>
    <w:rsid w:val="00412C1F"/>
    <w:rsid w:val="00421CB2"/>
    <w:rsid w:val="004268B9"/>
    <w:rsid w:val="00433B96"/>
    <w:rsid w:val="004419EC"/>
    <w:rsid w:val="004440F1"/>
    <w:rsid w:val="004456DD"/>
    <w:rsid w:val="00446CDF"/>
    <w:rsid w:val="0045126F"/>
    <w:rsid w:val="004521B7"/>
    <w:rsid w:val="004535B2"/>
    <w:rsid w:val="00462AB5"/>
    <w:rsid w:val="00465EAF"/>
    <w:rsid w:val="004738C5"/>
    <w:rsid w:val="004843D2"/>
    <w:rsid w:val="00485741"/>
    <w:rsid w:val="00486462"/>
    <w:rsid w:val="00491046"/>
    <w:rsid w:val="00496C2F"/>
    <w:rsid w:val="004A2AC7"/>
    <w:rsid w:val="004A342B"/>
    <w:rsid w:val="004A62A1"/>
    <w:rsid w:val="004A6D2F"/>
    <w:rsid w:val="004B04AE"/>
    <w:rsid w:val="004B5CB1"/>
    <w:rsid w:val="004C2887"/>
    <w:rsid w:val="004D2626"/>
    <w:rsid w:val="004D6E26"/>
    <w:rsid w:val="004D77D3"/>
    <w:rsid w:val="004E2959"/>
    <w:rsid w:val="004E668B"/>
    <w:rsid w:val="004F1EF5"/>
    <w:rsid w:val="004F20EF"/>
    <w:rsid w:val="004F70A1"/>
    <w:rsid w:val="0050321C"/>
    <w:rsid w:val="0054712D"/>
    <w:rsid w:val="00547EF6"/>
    <w:rsid w:val="005570B5"/>
    <w:rsid w:val="00567E18"/>
    <w:rsid w:val="00575F5F"/>
    <w:rsid w:val="00581805"/>
    <w:rsid w:val="00585F76"/>
    <w:rsid w:val="005949EC"/>
    <w:rsid w:val="00597212"/>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3824"/>
    <w:rsid w:val="00661D3E"/>
    <w:rsid w:val="00663551"/>
    <w:rsid w:val="006826F7"/>
    <w:rsid w:val="00692627"/>
    <w:rsid w:val="00693F05"/>
    <w:rsid w:val="006969E7"/>
    <w:rsid w:val="006A0D88"/>
    <w:rsid w:val="006A3643"/>
    <w:rsid w:val="006A51C6"/>
    <w:rsid w:val="006C2A29"/>
    <w:rsid w:val="006C64CF"/>
    <w:rsid w:val="006D1417"/>
    <w:rsid w:val="006D17B1"/>
    <w:rsid w:val="006D4752"/>
    <w:rsid w:val="006D708A"/>
    <w:rsid w:val="006E14C1"/>
    <w:rsid w:val="006F0292"/>
    <w:rsid w:val="006F27FA"/>
    <w:rsid w:val="006F416B"/>
    <w:rsid w:val="006F519B"/>
    <w:rsid w:val="00713675"/>
    <w:rsid w:val="00715823"/>
    <w:rsid w:val="00735AAA"/>
    <w:rsid w:val="00737B93"/>
    <w:rsid w:val="00741D7D"/>
    <w:rsid w:val="00744C7B"/>
    <w:rsid w:val="00745BF0"/>
    <w:rsid w:val="00757501"/>
    <w:rsid w:val="007615FE"/>
    <w:rsid w:val="0076655C"/>
    <w:rsid w:val="00766DA5"/>
    <w:rsid w:val="007742DC"/>
    <w:rsid w:val="00774DD5"/>
    <w:rsid w:val="007751C2"/>
    <w:rsid w:val="0078366F"/>
    <w:rsid w:val="00791437"/>
    <w:rsid w:val="007A0668"/>
    <w:rsid w:val="007A1A96"/>
    <w:rsid w:val="007B0C2C"/>
    <w:rsid w:val="007B278E"/>
    <w:rsid w:val="007C0CE8"/>
    <w:rsid w:val="007C5C23"/>
    <w:rsid w:val="007E2A26"/>
    <w:rsid w:val="007F1C13"/>
    <w:rsid w:val="007F2348"/>
    <w:rsid w:val="007F75F0"/>
    <w:rsid w:val="00803F07"/>
    <w:rsid w:val="0080749A"/>
    <w:rsid w:val="00821FB8"/>
    <w:rsid w:val="00822ACD"/>
    <w:rsid w:val="00845DDB"/>
    <w:rsid w:val="00855C66"/>
    <w:rsid w:val="00863F73"/>
    <w:rsid w:val="008645EB"/>
    <w:rsid w:val="00871EE4"/>
    <w:rsid w:val="00876220"/>
    <w:rsid w:val="00881D87"/>
    <w:rsid w:val="00886AA3"/>
    <w:rsid w:val="008916AD"/>
    <w:rsid w:val="008A3310"/>
    <w:rsid w:val="008B293F"/>
    <w:rsid w:val="008B4F74"/>
    <w:rsid w:val="008B7371"/>
    <w:rsid w:val="008B7E47"/>
    <w:rsid w:val="008D3DDB"/>
    <w:rsid w:val="008F573F"/>
    <w:rsid w:val="009034EC"/>
    <w:rsid w:val="0093067A"/>
    <w:rsid w:val="00941C60"/>
    <w:rsid w:val="00941FD1"/>
    <w:rsid w:val="00966D42"/>
    <w:rsid w:val="00971689"/>
    <w:rsid w:val="00971A5F"/>
    <w:rsid w:val="00973E90"/>
    <w:rsid w:val="00975B07"/>
    <w:rsid w:val="00980B4A"/>
    <w:rsid w:val="00983FBD"/>
    <w:rsid w:val="00992B40"/>
    <w:rsid w:val="009A56F2"/>
    <w:rsid w:val="009A5946"/>
    <w:rsid w:val="009D333B"/>
    <w:rsid w:val="009E3D0A"/>
    <w:rsid w:val="009E51FC"/>
    <w:rsid w:val="009F1D28"/>
    <w:rsid w:val="009F7618"/>
    <w:rsid w:val="00A00118"/>
    <w:rsid w:val="00A009D7"/>
    <w:rsid w:val="00A04D23"/>
    <w:rsid w:val="00A0519D"/>
    <w:rsid w:val="00A06766"/>
    <w:rsid w:val="00A13765"/>
    <w:rsid w:val="00A21B12"/>
    <w:rsid w:val="00A23F80"/>
    <w:rsid w:val="00A346F0"/>
    <w:rsid w:val="00A3622B"/>
    <w:rsid w:val="00A46E98"/>
    <w:rsid w:val="00A519E0"/>
    <w:rsid w:val="00A6352B"/>
    <w:rsid w:val="00A701B5"/>
    <w:rsid w:val="00A71100"/>
    <w:rsid w:val="00A714BB"/>
    <w:rsid w:val="00A77147"/>
    <w:rsid w:val="00A86378"/>
    <w:rsid w:val="00A92D8F"/>
    <w:rsid w:val="00AB2988"/>
    <w:rsid w:val="00AB7999"/>
    <w:rsid w:val="00AC6C83"/>
    <w:rsid w:val="00AD3292"/>
    <w:rsid w:val="00AD4A3F"/>
    <w:rsid w:val="00AE7AF0"/>
    <w:rsid w:val="00AF494F"/>
    <w:rsid w:val="00B37563"/>
    <w:rsid w:val="00B500CA"/>
    <w:rsid w:val="00B53AC2"/>
    <w:rsid w:val="00B8073D"/>
    <w:rsid w:val="00B86314"/>
    <w:rsid w:val="00B9139D"/>
    <w:rsid w:val="00BA1C2E"/>
    <w:rsid w:val="00BB30CC"/>
    <w:rsid w:val="00BB70B5"/>
    <w:rsid w:val="00BC200B"/>
    <w:rsid w:val="00BC46D6"/>
    <w:rsid w:val="00BC4756"/>
    <w:rsid w:val="00BC69A4"/>
    <w:rsid w:val="00BE0680"/>
    <w:rsid w:val="00BE305F"/>
    <w:rsid w:val="00BE7BA3"/>
    <w:rsid w:val="00BF1E8C"/>
    <w:rsid w:val="00BF5682"/>
    <w:rsid w:val="00BF7B09"/>
    <w:rsid w:val="00C1392F"/>
    <w:rsid w:val="00C20A95"/>
    <w:rsid w:val="00C2692F"/>
    <w:rsid w:val="00C3207C"/>
    <w:rsid w:val="00C400E1"/>
    <w:rsid w:val="00C41187"/>
    <w:rsid w:val="00C4544F"/>
    <w:rsid w:val="00C63C31"/>
    <w:rsid w:val="00C65651"/>
    <w:rsid w:val="00C720FB"/>
    <w:rsid w:val="00C757A0"/>
    <w:rsid w:val="00C760DE"/>
    <w:rsid w:val="00C82630"/>
    <w:rsid w:val="00C85B4E"/>
    <w:rsid w:val="00C907F7"/>
    <w:rsid w:val="00CA0DC6"/>
    <w:rsid w:val="00CA2103"/>
    <w:rsid w:val="00CB2F2C"/>
    <w:rsid w:val="00CB6B99"/>
    <w:rsid w:val="00CE4C87"/>
    <w:rsid w:val="00CE4D2D"/>
    <w:rsid w:val="00CE544A"/>
    <w:rsid w:val="00D033D7"/>
    <w:rsid w:val="00D11E1C"/>
    <w:rsid w:val="00D160B0"/>
    <w:rsid w:val="00D17F94"/>
    <w:rsid w:val="00D223FC"/>
    <w:rsid w:val="00D26D1E"/>
    <w:rsid w:val="00D31B8F"/>
    <w:rsid w:val="00D474CF"/>
    <w:rsid w:val="00D5078B"/>
    <w:rsid w:val="00D5547E"/>
    <w:rsid w:val="00D578E9"/>
    <w:rsid w:val="00D77C96"/>
    <w:rsid w:val="00D86804"/>
    <w:rsid w:val="00D869A1"/>
    <w:rsid w:val="00D87F4C"/>
    <w:rsid w:val="00DA413F"/>
    <w:rsid w:val="00DA4584"/>
    <w:rsid w:val="00DA614B"/>
    <w:rsid w:val="00DC3060"/>
    <w:rsid w:val="00DD14F8"/>
    <w:rsid w:val="00DE05DD"/>
    <w:rsid w:val="00DE0FB2"/>
    <w:rsid w:val="00DF093E"/>
    <w:rsid w:val="00DF34A5"/>
    <w:rsid w:val="00E01F42"/>
    <w:rsid w:val="00E206D6"/>
    <w:rsid w:val="00E3366E"/>
    <w:rsid w:val="00E52086"/>
    <w:rsid w:val="00E543A6"/>
    <w:rsid w:val="00E60479"/>
    <w:rsid w:val="00E61D73"/>
    <w:rsid w:val="00E73684"/>
    <w:rsid w:val="00E818D6"/>
    <w:rsid w:val="00E87F7A"/>
    <w:rsid w:val="00E90F2E"/>
    <w:rsid w:val="00E96BD7"/>
    <w:rsid w:val="00EA0DB1"/>
    <w:rsid w:val="00EA0EE9"/>
    <w:rsid w:val="00ED30D2"/>
    <w:rsid w:val="00ED52CA"/>
    <w:rsid w:val="00ED5860"/>
    <w:rsid w:val="00EE15F1"/>
    <w:rsid w:val="00EE35C9"/>
    <w:rsid w:val="00EF7EE0"/>
    <w:rsid w:val="00F05ECA"/>
    <w:rsid w:val="00F10AFE"/>
    <w:rsid w:val="00F3566E"/>
    <w:rsid w:val="00F35E75"/>
    <w:rsid w:val="00F375FB"/>
    <w:rsid w:val="00F41AC1"/>
    <w:rsid w:val="00F42C72"/>
    <w:rsid w:val="00F4367A"/>
    <w:rsid w:val="00F445B1"/>
    <w:rsid w:val="00F45067"/>
    <w:rsid w:val="00F45CD4"/>
    <w:rsid w:val="00F54D50"/>
    <w:rsid w:val="00F66DCA"/>
    <w:rsid w:val="00F74F53"/>
    <w:rsid w:val="00F7606D"/>
    <w:rsid w:val="00F81670"/>
    <w:rsid w:val="00F81ABA"/>
    <w:rsid w:val="00F82024"/>
    <w:rsid w:val="00F95BC9"/>
    <w:rsid w:val="00FA624C"/>
    <w:rsid w:val="00FC440A"/>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16950C2-8463-488C-99BF-6849723D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180D9C"/>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A342B"/>
    <w:pPr>
      <w:widowControl w:val="0"/>
      <w:spacing w:after="0"/>
    </w:pPr>
    <w:rPr>
      <w:rFonts w:eastAsia="Arial" w:cs="Arial"/>
      <w:color w:val="auto"/>
      <w:sz w:val="22"/>
      <w:szCs w:val="22"/>
      <w:lang w:val="en-US" w:eastAsia="en-US"/>
    </w:rPr>
  </w:style>
  <w:style w:type="character" w:customStyle="1" w:styleId="BodyTextChar">
    <w:name w:val="Body Text Char"/>
    <w:basedOn w:val="DefaultParagraphFont"/>
    <w:link w:val="BodyText"/>
    <w:uiPriority w:val="1"/>
    <w:rsid w:val="004A342B"/>
    <w:rPr>
      <w:rFonts w:eastAsia="Arial" w:cs="Arial"/>
      <w:sz w:val="22"/>
      <w:szCs w:val="22"/>
      <w:lang w:val="en-US" w:eastAsia="en-US"/>
    </w:rPr>
  </w:style>
  <w:style w:type="paragraph" w:styleId="BodyTextIndent">
    <w:name w:val="Body Text Indent"/>
    <w:basedOn w:val="Normal"/>
    <w:link w:val="BodyTextIndentChar"/>
    <w:rsid w:val="00270F4B"/>
    <w:pPr>
      <w:ind w:left="283"/>
    </w:pPr>
  </w:style>
  <w:style w:type="character" w:customStyle="1" w:styleId="BodyTextIndentChar">
    <w:name w:val="Body Text Indent Char"/>
    <w:basedOn w:val="DefaultParagraphFont"/>
    <w:link w:val="BodyTextIndent"/>
    <w:rsid w:val="00270F4B"/>
    <w:rPr>
      <w:color w:val="000000"/>
      <w:sz w:val="24"/>
      <w:szCs w:val="24"/>
    </w:rPr>
  </w:style>
  <w:style w:type="table" w:customStyle="1" w:styleId="TableGrid1">
    <w:name w:val="Table Grid1"/>
    <w:basedOn w:val="TableNormal"/>
    <w:next w:val="TableGrid"/>
    <w:uiPriority w:val="59"/>
    <w:rsid w:val="00192AE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53AC2"/>
    <w:pPr>
      <w:spacing w:after="0"/>
    </w:pPr>
    <w:rPr>
      <w:sz w:val="20"/>
      <w:szCs w:val="20"/>
    </w:rPr>
  </w:style>
  <w:style w:type="character" w:customStyle="1" w:styleId="FootnoteTextChar">
    <w:name w:val="Footnote Text Char"/>
    <w:basedOn w:val="DefaultParagraphFont"/>
    <w:link w:val="FootnoteText"/>
    <w:rsid w:val="00B53AC2"/>
    <w:rPr>
      <w:color w:val="000000"/>
    </w:rPr>
  </w:style>
  <w:style w:type="character" w:styleId="FootnoteReference">
    <w:name w:val="footnote reference"/>
    <w:basedOn w:val="DefaultParagraphFont"/>
    <w:rsid w:val="00B53AC2"/>
    <w:rPr>
      <w:vertAlign w:val="superscript"/>
    </w:rPr>
  </w:style>
  <w:style w:type="table" w:customStyle="1" w:styleId="TableGrid11">
    <w:name w:val="Table Grid11"/>
    <w:basedOn w:val="TableNormal"/>
    <w:next w:val="TableGrid"/>
    <w:rsid w:val="0073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F70A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F4F6-E939-45D1-9248-CA746D0A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E86E1732</Template>
  <TotalTime>1</TotalTime>
  <Pages>5</Pages>
  <Words>1973</Words>
  <Characters>10455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TYRELL Lucy</cp:lastModifiedBy>
  <cp:revision>2</cp:revision>
  <cp:lastPrinted>2019-03-12T14:21:00Z</cp:lastPrinted>
  <dcterms:created xsi:type="dcterms:W3CDTF">2023-03-02T15:03:00Z</dcterms:created>
  <dcterms:modified xsi:type="dcterms:W3CDTF">2023-03-02T15:03:00Z</dcterms:modified>
</cp:coreProperties>
</file>